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74" w:rsidRDefault="00FC2C77">
      <w:pPr>
        <w:suppressLineNumbers/>
        <w:tabs>
          <w:tab w:val="center" w:pos="4819"/>
          <w:tab w:val="right" w:pos="9638"/>
          <w:tab w:val="center" w:pos="3975"/>
          <w:tab w:val="right" w:pos="9638"/>
        </w:tabs>
        <w:spacing w:after="0" w:line="240" w:lineRule="auto"/>
        <w:jc w:val="right"/>
        <w:rPr>
          <w:rFonts w:ascii="Liberation Serif" w:eastAsia="Liberation Serif" w:hAnsi="Liberation Serif" w:cs="Liberation Serif"/>
          <w:sz w:val="24"/>
        </w:rPr>
      </w:pPr>
      <w:r>
        <w:rPr>
          <w:rFonts w:ascii="Verdana" w:eastAsia="Verdana" w:hAnsi="Verdana" w:cs="Verdana"/>
          <w:sz w:val="16"/>
        </w:rPr>
        <w:tab/>
      </w:r>
      <w:r>
        <w:rPr>
          <w:rFonts w:ascii="Verdana" w:eastAsia="Verdana" w:hAnsi="Verdana" w:cs="Verdana"/>
          <w:sz w:val="16"/>
        </w:rPr>
        <w:tab/>
      </w:r>
    </w:p>
    <w:p w:rsidR="00235474" w:rsidRDefault="00FC2C77">
      <w:pPr>
        <w:suppressLineNumbers/>
        <w:tabs>
          <w:tab w:val="center" w:pos="3975"/>
          <w:tab w:val="center" w:pos="4819"/>
          <w:tab w:val="right" w:pos="9638"/>
          <w:tab w:val="right" w:pos="9638"/>
        </w:tabs>
        <w:spacing w:after="0" w:line="240" w:lineRule="auto"/>
        <w:ind w:right="-22"/>
        <w:jc w:val="right"/>
        <w:rPr>
          <w:rFonts w:ascii="Verdana" w:eastAsia="Verdana" w:hAnsi="Verdana" w:cs="Verdana"/>
          <w:sz w:val="16"/>
        </w:rPr>
      </w:pPr>
      <w:r>
        <w:rPr>
          <w:rFonts w:ascii="ArialMT" w:eastAsia="ArialMT" w:hAnsi="ArialMT" w:cs="ArialMT"/>
          <w:sz w:val="24"/>
        </w:rPr>
        <w:t xml:space="preserve">                    </w:t>
      </w:r>
    </w:p>
    <w:p w:rsidR="00235474" w:rsidRDefault="00235474">
      <w:pPr>
        <w:suppressLineNumbers/>
        <w:tabs>
          <w:tab w:val="center" w:pos="3975"/>
          <w:tab w:val="center" w:pos="4819"/>
          <w:tab w:val="right" w:pos="9638"/>
          <w:tab w:val="right" w:pos="9638"/>
        </w:tabs>
        <w:spacing w:after="0" w:line="240" w:lineRule="auto"/>
        <w:ind w:right="-22"/>
        <w:jc w:val="right"/>
        <w:rPr>
          <w:rFonts w:ascii="ArialMT" w:eastAsia="ArialMT" w:hAnsi="ArialMT" w:cs="ArialMT"/>
          <w:sz w:val="24"/>
        </w:rPr>
      </w:pPr>
    </w:p>
    <w:p w:rsidR="00151C72" w:rsidRDefault="00151C72" w:rsidP="00151C72">
      <w:pPr>
        <w:suppressAutoHyphens/>
        <w:spacing w:after="0" w:line="240" w:lineRule="auto"/>
        <w:ind w:firstLine="708"/>
        <w:jc w:val="both"/>
        <w:rPr>
          <w:rFonts w:ascii="ArialMT" w:eastAsia="ArialMT" w:hAnsi="ArialMT" w:cs="ArialMT"/>
          <w:b/>
          <w:sz w:val="24"/>
        </w:rPr>
      </w:pPr>
      <w:r>
        <w:rPr>
          <w:rFonts w:ascii="ArialMT" w:eastAsia="ArialMT" w:hAnsi="ArialMT" w:cs="ArialMT"/>
          <w:sz w:val="24"/>
        </w:rPr>
        <w:t xml:space="preserve">En el ejercicio 2015 se elaboró el </w:t>
      </w:r>
      <w:r>
        <w:rPr>
          <w:rFonts w:ascii="ArialMT" w:eastAsia="ArialMT" w:hAnsi="ArialMT" w:cs="ArialMT"/>
          <w:b/>
          <w:sz w:val="24"/>
        </w:rPr>
        <w:t>Plan de Gobierno (2015-2019) del Ayuntamiento de Cartagena.</w:t>
      </w:r>
    </w:p>
    <w:p w:rsidR="00151C72" w:rsidRDefault="00151C72" w:rsidP="00151C72">
      <w:pPr>
        <w:suppressAutoHyphens/>
        <w:spacing w:after="0" w:line="240" w:lineRule="auto"/>
        <w:ind w:firstLine="708"/>
        <w:jc w:val="both"/>
        <w:rPr>
          <w:rFonts w:ascii="ArialMT" w:eastAsia="ArialMT" w:hAnsi="ArialMT" w:cs="ArialMT"/>
          <w:b/>
          <w:sz w:val="24"/>
        </w:rPr>
      </w:pPr>
    </w:p>
    <w:p w:rsidR="00151C72" w:rsidRDefault="00151C72" w:rsidP="00151C72">
      <w:pPr>
        <w:suppressAutoHyphens/>
        <w:spacing w:after="0" w:line="240" w:lineRule="auto"/>
        <w:ind w:firstLine="708"/>
        <w:jc w:val="both"/>
        <w:rPr>
          <w:rFonts w:ascii="ArialMT" w:eastAsia="ArialMT" w:hAnsi="ArialMT" w:cs="ArialMT"/>
          <w:sz w:val="24"/>
        </w:rPr>
      </w:pPr>
      <w:r>
        <w:rPr>
          <w:rFonts w:ascii="ArialMT" w:eastAsia="ArialMT" w:hAnsi="ArialMT" w:cs="ArialMT"/>
          <w:b/>
          <w:sz w:val="24"/>
        </w:rPr>
        <w:t xml:space="preserve"> </w:t>
      </w:r>
      <w:r w:rsidRPr="00151C72">
        <w:rPr>
          <w:rFonts w:ascii="ArialMT" w:eastAsia="ArialMT" w:hAnsi="ArialMT" w:cs="ArialMT"/>
          <w:sz w:val="24"/>
        </w:rPr>
        <w:t>Con el</w:t>
      </w:r>
      <w:r>
        <w:rPr>
          <w:rFonts w:ascii="ArialMT" w:eastAsia="ArialMT" w:hAnsi="ArialMT" w:cs="ArialMT"/>
          <w:sz w:val="24"/>
        </w:rPr>
        <w:t xml:space="preserve"> </w:t>
      </w:r>
      <w:r w:rsidRPr="00151C72">
        <w:rPr>
          <w:rFonts w:ascii="ArialMT" w:eastAsia="ArialMT" w:hAnsi="ArialMT" w:cs="ArialMT"/>
          <w:sz w:val="24"/>
        </w:rPr>
        <w:t>objetivo de dar respuesta a</w:t>
      </w:r>
      <w:r>
        <w:rPr>
          <w:rFonts w:ascii="ArialMT" w:eastAsia="ArialMT" w:hAnsi="ArialMT" w:cs="ArialMT"/>
          <w:b/>
          <w:sz w:val="24"/>
        </w:rPr>
        <w:t xml:space="preserve"> </w:t>
      </w:r>
      <w:r>
        <w:rPr>
          <w:rFonts w:ascii="ArialMT" w:eastAsia="ArialMT" w:hAnsi="ArialMT" w:cs="ArialMT"/>
          <w:sz w:val="24"/>
        </w:rPr>
        <w:t xml:space="preserve">lo establecido en el artículo 6.2 i) de la Ley 19/2013, de 9 de diciembre, de Transparencia, acceso  a la información pública y buen gobierno citada Ley, en cuanto a las actuaciones programadas para este periodo para la Delegación de trasparencia, </w:t>
      </w:r>
      <w:r w:rsidR="00FB2653">
        <w:rPr>
          <w:rFonts w:ascii="ArialMT" w:eastAsia="ArialMT" w:hAnsi="ArialMT" w:cs="ArialMT"/>
          <w:sz w:val="24"/>
        </w:rPr>
        <w:t xml:space="preserve">a continuación relacionaremos los objetivos programados, señalando las actuaciones realizadas y señalando su grado de cumplimiento. </w:t>
      </w:r>
    </w:p>
    <w:p w:rsidR="00FB2653" w:rsidRDefault="00FB2653" w:rsidP="00151C72">
      <w:pPr>
        <w:suppressAutoHyphens/>
        <w:spacing w:after="0" w:line="240" w:lineRule="auto"/>
        <w:ind w:firstLine="708"/>
        <w:jc w:val="both"/>
        <w:rPr>
          <w:rFonts w:ascii="ArialMT" w:eastAsia="ArialMT" w:hAnsi="ArialMT" w:cs="ArialMT"/>
          <w:sz w:val="24"/>
        </w:rPr>
      </w:pPr>
    </w:p>
    <w:p w:rsidR="00FB2653" w:rsidRDefault="00FB2653" w:rsidP="00151C72">
      <w:pPr>
        <w:suppressAutoHyphens/>
        <w:spacing w:after="0" w:line="240" w:lineRule="auto"/>
        <w:ind w:firstLine="708"/>
        <w:jc w:val="both"/>
        <w:rPr>
          <w:rFonts w:ascii="Arial" w:eastAsia="Arial-BoldMT" w:hAnsi="Arial" w:cs="Arial"/>
          <w:b/>
          <w:sz w:val="24"/>
          <w:szCs w:val="24"/>
        </w:rPr>
      </w:pPr>
      <w:r>
        <w:rPr>
          <w:rFonts w:ascii="ArialMT" w:eastAsia="ArialMT" w:hAnsi="ArialMT" w:cs="ArialMT"/>
          <w:sz w:val="24"/>
        </w:rPr>
        <w:t>Las actuaciones programadas para para la Delegación de Trasparencia fueron las siguientes:</w:t>
      </w:r>
    </w:p>
    <w:p w:rsidR="00151C72" w:rsidRDefault="00151C72" w:rsidP="00CD1EC8">
      <w:pPr>
        <w:suppressAutoHyphens/>
        <w:spacing w:after="0" w:line="240" w:lineRule="auto"/>
        <w:jc w:val="both"/>
        <w:rPr>
          <w:rFonts w:ascii="Arial" w:eastAsia="Arial-BoldMT" w:hAnsi="Arial" w:cs="Arial"/>
          <w:b/>
          <w:sz w:val="24"/>
          <w:szCs w:val="24"/>
        </w:rPr>
      </w:pPr>
    </w:p>
    <w:p w:rsidR="00CD1EC8" w:rsidRPr="00FB2653" w:rsidRDefault="00FB2653" w:rsidP="00FB2653">
      <w:pPr>
        <w:pStyle w:val="Prrafodelista"/>
        <w:numPr>
          <w:ilvl w:val="0"/>
          <w:numId w:val="4"/>
        </w:numPr>
        <w:suppressAutoHyphens/>
        <w:spacing w:after="0" w:line="240" w:lineRule="auto"/>
        <w:jc w:val="both"/>
        <w:rPr>
          <w:rFonts w:ascii="Arial" w:eastAsia="ArialMT" w:hAnsi="Arial" w:cs="Arial"/>
          <w:sz w:val="24"/>
          <w:szCs w:val="24"/>
          <w:u w:val="single"/>
        </w:rPr>
      </w:pPr>
      <w:r>
        <w:rPr>
          <w:rFonts w:ascii="Arial" w:eastAsia="Arial-BoldMT" w:hAnsi="Arial" w:cs="Arial"/>
          <w:b/>
          <w:sz w:val="24"/>
          <w:szCs w:val="24"/>
        </w:rPr>
        <w:t xml:space="preserve">- </w:t>
      </w:r>
      <w:r w:rsidR="00CD1EC8" w:rsidRPr="00FB2653">
        <w:rPr>
          <w:rFonts w:ascii="Arial" w:eastAsia="Arial-BoldMT" w:hAnsi="Arial" w:cs="Arial"/>
          <w:b/>
          <w:sz w:val="24"/>
          <w:szCs w:val="24"/>
        </w:rPr>
        <w:t>La transparencia, un compromiso del Gobierno municipal</w:t>
      </w:r>
      <w:r w:rsidR="00CD1EC8" w:rsidRPr="00FB2653">
        <w:rPr>
          <w:rFonts w:ascii="Arial" w:eastAsia="ArialMT" w:hAnsi="Arial" w:cs="Arial"/>
          <w:sz w:val="24"/>
          <w:szCs w:val="24"/>
        </w:rPr>
        <w:t xml:space="preserve">- </w:t>
      </w:r>
      <w:r w:rsidR="00CD1EC8" w:rsidRPr="00FB2653">
        <w:rPr>
          <w:rFonts w:ascii="Arial" w:eastAsia="ArialMT" w:hAnsi="Arial" w:cs="Arial"/>
          <w:b/>
          <w:sz w:val="24"/>
          <w:szCs w:val="24"/>
          <w:u w:val="single"/>
        </w:rPr>
        <w:t>Estrategia global de gobierno abierto basada en la transparencia, participación ciudadana y datos abiertos.</w:t>
      </w:r>
    </w:p>
    <w:p w:rsidR="00CD1EC8" w:rsidRPr="00C4548F" w:rsidRDefault="00CD1EC8" w:rsidP="00CD1EC8">
      <w:pPr>
        <w:suppressAutoHyphens/>
        <w:spacing w:after="0" w:line="240" w:lineRule="auto"/>
        <w:jc w:val="both"/>
        <w:rPr>
          <w:rFonts w:ascii="Arial" w:eastAsia="ArialMT" w:hAnsi="Arial" w:cs="Arial"/>
          <w:sz w:val="24"/>
          <w:szCs w:val="24"/>
          <w:u w:val="single"/>
        </w:rPr>
      </w:pPr>
    </w:p>
    <w:p w:rsidR="00CD1EC8" w:rsidRPr="00C4548F" w:rsidRDefault="00CD1EC8" w:rsidP="00CD1EC8">
      <w:pPr>
        <w:suppressAutoHyphens/>
        <w:spacing w:after="0" w:line="240" w:lineRule="auto"/>
        <w:ind w:firstLine="708"/>
        <w:jc w:val="both"/>
        <w:rPr>
          <w:rFonts w:ascii="Arial" w:eastAsia="ArialMT" w:hAnsi="Arial" w:cs="Arial"/>
          <w:sz w:val="24"/>
          <w:szCs w:val="24"/>
        </w:rPr>
      </w:pPr>
      <w:r w:rsidRPr="00C4548F">
        <w:rPr>
          <w:rFonts w:ascii="Arial" w:eastAsia="ArialMT" w:hAnsi="Arial" w:cs="Arial"/>
          <w:sz w:val="24"/>
          <w:szCs w:val="24"/>
        </w:rPr>
        <w:t xml:space="preserve">De acuerdo con este compromiso, por un lado se creó el Portal de Transparencia en la Web municipal: </w:t>
      </w:r>
    </w:p>
    <w:p w:rsidR="00CD1EC8" w:rsidRPr="00C4548F" w:rsidRDefault="00081EF5" w:rsidP="00CD1EC8">
      <w:pPr>
        <w:suppressAutoHyphens/>
        <w:spacing w:after="0" w:line="240" w:lineRule="auto"/>
        <w:ind w:firstLine="708"/>
        <w:jc w:val="both"/>
        <w:rPr>
          <w:rFonts w:ascii="Arial" w:eastAsia="ArialMT" w:hAnsi="Arial" w:cs="Arial"/>
          <w:sz w:val="24"/>
          <w:szCs w:val="24"/>
        </w:rPr>
      </w:pPr>
      <w:hyperlink r:id="rId8" w:history="1">
        <w:r w:rsidR="00CD1EC8" w:rsidRPr="00C4548F">
          <w:rPr>
            <w:rStyle w:val="Hipervnculo"/>
            <w:rFonts w:ascii="Arial" w:eastAsia="ArialMT" w:hAnsi="Arial" w:cs="Arial"/>
            <w:sz w:val="24"/>
            <w:szCs w:val="24"/>
          </w:rPr>
          <w:t>https://www.cartagena.es/gobiernoabierto.asp</w:t>
        </w:r>
      </w:hyperlink>
      <w:r w:rsidR="00CD1EC8" w:rsidRPr="00C4548F">
        <w:rPr>
          <w:rFonts w:ascii="Arial" w:eastAsia="ArialMT" w:hAnsi="Arial" w:cs="Arial"/>
          <w:sz w:val="24"/>
          <w:szCs w:val="24"/>
        </w:rPr>
        <w:t xml:space="preserve"> el 3 de diciembre de 2015, estructurado en seis ejes básicos, y por otro lado se  ratificó el Código de Buen Gobierno de 24 de marzo de 2015 de la Federación Española de Municipios y Provincias por Acuerdo de Pleno de 27 de noviembre de 2015.</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Pendiente: </w:t>
      </w:r>
      <w:r w:rsidR="00FB2653">
        <w:rPr>
          <w:rFonts w:ascii="Arial" w:eastAsia="ArialMT" w:hAnsi="Arial" w:cs="Arial"/>
          <w:sz w:val="24"/>
          <w:szCs w:val="24"/>
        </w:rPr>
        <w:t>2</w:t>
      </w:r>
      <w:r w:rsidRPr="00C4548F">
        <w:rPr>
          <w:rFonts w:ascii="Arial" w:eastAsia="ArialMT" w:hAnsi="Arial" w:cs="Arial"/>
          <w:sz w:val="24"/>
          <w:szCs w:val="24"/>
        </w:rPr>
        <w:t>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Dotación de recursos para puesta en </w:t>
      </w:r>
      <w:r w:rsidRPr="00FB2653">
        <w:rPr>
          <w:rFonts w:ascii="Arial" w:eastAsia="ArialMT" w:hAnsi="Arial" w:cs="Arial"/>
          <w:color w:val="000000" w:themeColor="text1"/>
          <w:sz w:val="24"/>
          <w:szCs w:val="24"/>
        </w:rPr>
        <w:t xml:space="preserve">marcha: </w:t>
      </w:r>
      <w:r w:rsidR="00FB2653">
        <w:rPr>
          <w:rFonts w:ascii="Arial" w:eastAsia="ArialMT" w:hAnsi="Arial" w:cs="Arial"/>
          <w:color w:val="000000" w:themeColor="text1"/>
          <w:sz w:val="24"/>
          <w:szCs w:val="24"/>
        </w:rPr>
        <w:t>8</w:t>
      </w:r>
      <w:r w:rsidRPr="00FB2653">
        <w:rPr>
          <w:rFonts w:ascii="Arial" w:eastAsia="ArialMT" w:hAnsi="Arial" w:cs="Arial"/>
          <w:color w:val="000000" w:themeColor="text1"/>
          <w:sz w:val="24"/>
          <w:szCs w:val="24"/>
        </w:rPr>
        <w:t>0%</w:t>
      </w:r>
    </w:p>
    <w:p w:rsidR="00CD1EC8" w:rsidRPr="00FB2653" w:rsidRDefault="00CD1EC8" w:rsidP="00CD1EC8">
      <w:pPr>
        <w:numPr>
          <w:ilvl w:val="0"/>
          <w:numId w:val="2"/>
        </w:numPr>
        <w:tabs>
          <w:tab w:val="left" w:pos="720"/>
        </w:tabs>
        <w:spacing w:after="144" w:line="240" w:lineRule="auto"/>
        <w:ind w:hanging="360"/>
        <w:jc w:val="both"/>
        <w:rPr>
          <w:rFonts w:ascii="Arial" w:eastAsia="ArialMT" w:hAnsi="Arial" w:cs="Arial"/>
          <w:color w:val="000000" w:themeColor="text1"/>
          <w:sz w:val="24"/>
          <w:szCs w:val="24"/>
        </w:rPr>
      </w:pPr>
      <w:r w:rsidRPr="00FB2653">
        <w:rPr>
          <w:rFonts w:ascii="Arial" w:eastAsia="ArialMT" w:hAnsi="Arial" w:cs="Arial"/>
          <w:color w:val="000000" w:themeColor="text1"/>
          <w:sz w:val="24"/>
          <w:szCs w:val="24"/>
        </w:rPr>
        <w:t xml:space="preserve">Realización de la acción: </w:t>
      </w:r>
      <w:r w:rsidR="00FB2653">
        <w:rPr>
          <w:rFonts w:ascii="Arial" w:eastAsia="ArialMT" w:hAnsi="Arial" w:cs="Arial"/>
          <w:color w:val="000000" w:themeColor="text1"/>
          <w:sz w:val="24"/>
          <w:szCs w:val="24"/>
        </w:rPr>
        <w:t>80</w:t>
      </w:r>
      <w:r w:rsidRPr="00FB2653">
        <w:rPr>
          <w:rFonts w:ascii="Arial" w:eastAsia="ArialMT" w:hAnsi="Arial" w:cs="Arial"/>
          <w:color w:val="000000" w:themeColor="text1"/>
          <w:sz w:val="24"/>
          <w:szCs w:val="24"/>
        </w:rPr>
        <w:t>%</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FB2653">
        <w:rPr>
          <w:rFonts w:ascii="Arial" w:eastAsia="ArialMT" w:hAnsi="Arial" w:cs="Arial"/>
          <w:color w:val="000000" w:themeColor="text1"/>
          <w:sz w:val="24"/>
          <w:szCs w:val="24"/>
        </w:rPr>
        <w:t>Medición de resultados: 100% (publicación de resultados o evaluación de la</w:t>
      </w:r>
      <w:r w:rsidRPr="00C4548F">
        <w:rPr>
          <w:rFonts w:ascii="Arial" w:eastAsia="ArialMT" w:hAnsi="Arial" w:cs="Arial"/>
          <w:sz w:val="24"/>
          <w:szCs w:val="24"/>
        </w:rPr>
        <w:t xml:space="preserve"> acción realizada).</w:t>
      </w:r>
    </w:p>
    <w:p w:rsidR="00CD1EC8" w:rsidRPr="00D71F49" w:rsidRDefault="00FB2653" w:rsidP="00D71F49">
      <w:pPr>
        <w:suppressAutoHyphens/>
        <w:spacing w:after="0" w:line="240" w:lineRule="auto"/>
        <w:ind w:firstLine="708"/>
        <w:jc w:val="both"/>
        <w:rPr>
          <w:rFonts w:ascii="Arial" w:eastAsia="ArialMT" w:hAnsi="Arial" w:cs="Arial"/>
          <w:color w:val="000000" w:themeColor="text1"/>
          <w:sz w:val="24"/>
          <w:szCs w:val="24"/>
        </w:rPr>
      </w:pPr>
      <w:r w:rsidRPr="00D71F49">
        <w:rPr>
          <w:rFonts w:ascii="Arial" w:eastAsia="ArialMT" w:hAnsi="Arial" w:cs="Arial"/>
          <w:color w:val="000000" w:themeColor="text1"/>
          <w:sz w:val="24"/>
          <w:szCs w:val="24"/>
        </w:rPr>
        <w:t xml:space="preserve">En este apartado objetivo queda pendiente de </w:t>
      </w:r>
      <w:r w:rsidR="00D71F49">
        <w:rPr>
          <w:rFonts w:ascii="Arial" w:eastAsia="ArialMT" w:hAnsi="Arial" w:cs="Arial"/>
          <w:color w:val="000000" w:themeColor="text1"/>
          <w:sz w:val="24"/>
          <w:szCs w:val="24"/>
        </w:rPr>
        <w:t>ejecutar</w:t>
      </w:r>
      <w:r w:rsidRPr="00D71F49">
        <w:rPr>
          <w:rFonts w:ascii="Arial" w:eastAsia="ArialMT" w:hAnsi="Arial" w:cs="Arial"/>
          <w:color w:val="000000" w:themeColor="text1"/>
          <w:sz w:val="24"/>
          <w:szCs w:val="24"/>
        </w:rPr>
        <w:t xml:space="preserve"> la a</w:t>
      </w:r>
      <w:r w:rsidR="00CD1EC8" w:rsidRPr="00D71F49">
        <w:rPr>
          <w:rFonts w:ascii="Arial" w:eastAsia="ArialMT" w:hAnsi="Arial" w:cs="Arial"/>
          <w:color w:val="000000" w:themeColor="text1"/>
          <w:sz w:val="24"/>
          <w:szCs w:val="24"/>
        </w:rPr>
        <w:t>ctualiza</w:t>
      </w:r>
      <w:r w:rsidRPr="00D71F49">
        <w:rPr>
          <w:rFonts w:ascii="Arial" w:eastAsia="ArialMT" w:hAnsi="Arial" w:cs="Arial"/>
          <w:color w:val="000000" w:themeColor="text1"/>
          <w:sz w:val="24"/>
          <w:szCs w:val="24"/>
        </w:rPr>
        <w:t xml:space="preserve">ción e incorporación de </w:t>
      </w:r>
      <w:r w:rsidR="00D71F49" w:rsidRPr="00D71F49">
        <w:rPr>
          <w:rFonts w:ascii="Arial" w:eastAsia="ArialMT" w:hAnsi="Arial" w:cs="Arial"/>
          <w:color w:val="000000" w:themeColor="text1"/>
          <w:sz w:val="24"/>
          <w:szCs w:val="24"/>
        </w:rPr>
        <w:t>los 40 conjuntos de Datos Abiertos recomendados por la RED de Entidades Locales por la Transparencia y la Participación Ciudadana.</w:t>
      </w:r>
      <w:r w:rsidR="00D71F49">
        <w:rPr>
          <w:rFonts w:ascii="Arial" w:eastAsia="ArialMT" w:hAnsi="Arial" w:cs="Arial"/>
          <w:color w:val="000000" w:themeColor="text1"/>
          <w:sz w:val="24"/>
          <w:szCs w:val="24"/>
        </w:rPr>
        <w:t xml:space="preserve"> Se está analizando junto con el Centro de Proceso de Datos del Ayuntamiento la mejor forma de poder publicar esta información. </w:t>
      </w:r>
    </w:p>
    <w:p w:rsidR="00CD1EC8" w:rsidRPr="00C4548F" w:rsidRDefault="00CD1EC8" w:rsidP="00CD1EC8">
      <w:pPr>
        <w:suppressAutoHyphens/>
        <w:spacing w:after="0" w:line="240" w:lineRule="auto"/>
        <w:jc w:val="both"/>
        <w:rPr>
          <w:rFonts w:ascii="Arial" w:eastAsia="Calibri" w:hAnsi="Arial" w:cs="Arial"/>
          <w:color w:val="FF0000"/>
          <w:sz w:val="24"/>
          <w:szCs w:val="24"/>
        </w:rPr>
      </w:pPr>
    </w:p>
    <w:p w:rsidR="00CD1EC8" w:rsidRPr="00D71F49" w:rsidRDefault="00CD1EC8" w:rsidP="00D71F49">
      <w:pPr>
        <w:pStyle w:val="Prrafodelista"/>
        <w:numPr>
          <w:ilvl w:val="0"/>
          <w:numId w:val="4"/>
        </w:numPr>
        <w:suppressAutoHyphens/>
        <w:spacing w:after="0" w:line="240" w:lineRule="auto"/>
        <w:jc w:val="both"/>
        <w:rPr>
          <w:rFonts w:ascii="Arial" w:eastAsia="ArialMT" w:hAnsi="Arial" w:cs="Arial"/>
          <w:b/>
          <w:sz w:val="24"/>
          <w:szCs w:val="24"/>
        </w:rPr>
      </w:pPr>
      <w:r w:rsidRPr="00D71F49">
        <w:rPr>
          <w:rFonts w:ascii="Arial" w:eastAsia="ArialMT" w:hAnsi="Arial" w:cs="Arial"/>
          <w:sz w:val="24"/>
          <w:szCs w:val="24"/>
        </w:rPr>
        <w:t xml:space="preserve">- </w:t>
      </w:r>
      <w:r w:rsidRPr="00D71F49">
        <w:rPr>
          <w:rFonts w:ascii="Arial" w:eastAsia="ArialMT" w:hAnsi="Arial" w:cs="Arial"/>
          <w:b/>
          <w:sz w:val="24"/>
          <w:szCs w:val="24"/>
          <w:u w:val="single"/>
        </w:rPr>
        <w:t>Generación de confianza en los ciudadanos respecto a los representantes políticos en base a la máxima transparencia y a la facilitación del acceso a la información</w:t>
      </w:r>
      <w:r w:rsidRPr="00D71F49">
        <w:rPr>
          <w:rFonts w:ascii="Arial" w:eastAsia="ArialMT" w:hAnsi="Arial" w:cs="Arial"/>
          <w:b/>
          <w:sz w:val="24"/>
          <w:szCs w:val="24"/>
        </w:rPr>
        <w:t>.</w:t>
      </w:r>
    </w:p>
    <w:p w:rsidR="00CD1EC8" w:rsidRPr="00C4548F" w:rsidRDefault="00CD1EC8" w:rsidP="00CD1EC8">
      <w:pPr>
        <w:suppressAutoHyphens/>
        <w:spacing w:after="0" w:line="240" w:lineRule="auto"/>
        <w:jc w:val="both"/>
        <w:rPr>
          <w:rFonts w:ascii="Arial" w:eastAsia="ArialMT" w:hAnsi="Arial" w:cs="Arial"/>
          <w:b/>
          <w:sz w:val="24"/>
          <w:szCs w:val="24"/>
        </w:rPr>
      </w:pP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ab/>
        <w:t>Para potenciar la generación de la confianza de los ciudadanos en los representantes políticos se creó el portal de transparencia y la oficina de transparencia para tramitar las solicitudes de información formuladas por los ciudadanos.</w:t>
      </w:r>
    </w:p>
    <w:p w:rsidR="00CD1EC8"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lastRenderedPageBreak/>
        <w:tab/>
        <w:t xml:space="preserve">Dentro del portal, se encuentra “Gobierno de la ciudad”  </w:t>
      </w:r>
      <w:hyperlink r:id="rId9" w:history="1">
        <w:r w:rsidRPr="00C4548F">
          <w:rPr>
            <w:rStyle w:val="Hipervnculo"/>
            <w:rFonts w:ascii="Arial" w:eastAsia="ArialMT" w:hAnsi="Arial" w:cs="Arial"/>
            <w:sz w:val="24"/>
            <w:szCs w:val="24"/>
          </w:rPr>
          <w:t>https://www.cartagena.es/plantillas/14b.asp?pt_idpag=1362</w:t>
        </w:r>
      </w:hyperlink>
      <w:r w:rsidRPr="00C4548F">
        <w:rPr>
          <w:rFonts w:ascii="Arial" w:eastAsia="ArialMT" w:hAnsi="Arial" w:cs="Arial"/>
          <w:sz w:val="24"/>
          <w:szCs w:val="24"/>
        </w:rPr>
        <w:t xml:space="preserve">, donde se publica toda la estructura organizativa e información institucional del Ayuntamiento, agenda de alcaldía, Actas de Plenos y Juntas de Gobierno, Actas de Juntas vecinales, agenda de Alcaldía, … Todo ello facilita el acercamiento de los </w:t>
      </w:r>
      <w:r w:rsidR="00D71F49">
        <w:rPr>
          <w:rFonts w:ascii="Arial" w:eastAsia="ArialMT" w:hAnsi="Arial" w:cs="Arial"/>
          <w:sz w:val="24"/>
          <w:szCs w:val="24"/>
        </w:rPr>
        <w:t>ciudadanos</w:t>
      </w:r>
      <w:r w:rsidRPr="00C4548F">
        <w:rPr>
          <w:rFonts w:ascii="Arial" w:eastAsia="ArialMT" w:hAnsi="Arial" w:cs="Arial"/>
          <w:sz w:val="24"/>
          <w:szCs w:val="24"/>
        </w:rPr>
        <w:t xml:space="preserve"> a las actuaciones realizadas por los representantes  políticos del Ayuntamiento.</w:t>
      </w:r>
    </w:p>
    <w:p w:rsidR="00D71F49" w:rsidRDefault="00D71F49" w:rsidP="00CD1EC8">
      <w:pPr>
        <w:suppressAutoHyphens/>
        <w:spacing w:after="0" w:line="240" w:lineRule="auto"/>
        <w:jc w:val="both"/>
        <w:rPr>
          <w:rFonts w:ascii="Arial" w:eastAsia="ArialMT" w:hAnsi="Arial" w:cs="Arial"/>
          <w:sz w:val="24"/>
          <w:szCs w:val="24"/>
        </w:rPr>
      </w:pPr>
      <w:r>
        <w:rPr>
          <w:rFonts w:ascii="Arial" w:eastAsia="ArialMT" w:hAnsi="Arial" w:cs="Arial"/>
          <w:sz w:val="24"/>
          <w:szCs w:val="24"/>
        </w:rPr>
        <w:tab/>
      </w:r>
    </w:p>
    <w:p w:rsidR="00D71F49" w:rsidRPr="00C4548F" w:rsidRDefault="00D71F49" w:rsidP="00CD1EC8">
      <w:pPr>
        <w:suppressAutoHyphens/>
        <w:spacing w:after="0" w:line="240" w:lineRule="auto"/>
        <w:jc w:val="both"/>
        <w:rPr>
          <w:rFonts w:ascii="Arial" w:eastAsia="ArialMT" w:hAnsi="Arial" w:cs="Arial"/>
          <w:sz w:val="24"/>
          <w:szCs w:val="24"/>
        </w:rPr>
      </w:pPr>
      <w:r>
        <w:rPr>
          <w:rFonts w:ascii="Arial" w:eastAsia="ArialMT" w:hAnsi="Arial" w:cs="Arial"/>
          <w:sz w:val="24"/>
          <w:szCs w:val="24"/>
        </w:rPr>
        <w:tab/>
        <w:t>Dentro de esta línea de generación de confianza</w:t>
      </w:r>
      <w:r w:rsidR="005A34BD">
        <w:rPr>
          <w:rFonts w:ascii="Arial" w:eastAsia="ArialMT" w:hAnsi="Arial" w:cs="Arial"/>
          <w:sz w:val="24"/>
          <w:szCs w:val="24"/>
        </w:rPr>
        <w:t xml:space="preserve"> en los ciudadanos</w:t>
      </w:r>
      <w:r>
        <w:rPr>
          <w:rFonts w:ascii="Arial" w:eastAsia="ArialMT" w:hAnsi="Arial" w:cs="Arial"/>
          <w:sz w:val="24"/>
          <w:szCs w:val="24"/>
        </w:rPr>
        <w:t xml:space="preserve">, a lo largo de los cuatro años </w:t>
      </w:r>
      <w:r w:rsidR="005A34BD">
        <w:rPr>
          <w:rFonts w:ascii="Arial" w:eastAsia="ArialMT" w:hAnsi="Arial" w:cs="Arial"/>
          <w:sz w:val="24"/>
          <w:szCs w:val="24"/>
        </w:rPr>
        <w:t xml:space="preserve">del plan </w:t>
      </w:r>
      <w:r>
        <w:rPr>
          <w:rFonts w:ascii="Arial" w:eastAsia="ArialMT" w:hAnsi="Arial" w:cs="Arial"/>
          <w:sz w:val="24"/>
          <w:szCs w:val="24"/>
        </w:rPr>
        <w:t xml:space="preserve">se han realizado actuaciones tendentes a </w:t>
      </w:r>
      <w:r w:rsidR="00E20BD4">
        <w:rPr>
          <w:rFonts w:ascii="Arial" w:eastAsia="ArialMT" w:hAnsi="Arial" w:cs="Arial"/>
          <w:sz w:val="24"/>
          <w:szCs w:val="24"/>
        </w:rPr>
        <w:t xml:space="preserve">la aplicación de prácticas de Buen Gobierno, ejemplo de </w:t>
      </w:r>
      <w:r w:rsidR="005A34BD">
        <w:rPr>
          <w:rFonts w:ascii="Arial" w:eastAsia="ArialMT" w:hAnsi="Arial" w:cs="Arial"/>
          <w:sz w:val="24"/>
          <w:szCs w:val="24"/>
        </w:rPr>
        <w:t>ello han sido los Presupuestos participativos, donde los ciudadanos podían votar aquellos proyectos de infraestructuras a realizar en cada ejercicio eco</w:t>
      </w:r>
      <w:r w:rsidR="00751D59">
        <w:rPr>
          <w:rFonts w:ascii="Arial" w:eastAsia="ArialMT" w:hAnsi="Arial" w:cs="Arial"/>
          <w:sz w:val="24"/>
          <w:szCs w:val="24"/>
        </w:rPr>
        <w:t>nómico. Otro ejemplo ha sido el procedimiento puesto en marcha de participación ciudadana para la elaboración del nuevo plan general del municipio.</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ind w:firstLine="708"/>
        <w:jc w:val="both"/>
        <w:rPr>
          <w:rFonts w:ascii="Arial" w:eastAsia="ArialMT" w:hAnsi="Arial" w:cs="Arial"/>
          <w:sz w:val="24"/>
          <w:szCs w:val="24"/>
        </w:rPr>
      </w:pPr>
      <w:r w:rsidRPr="00C4548F">
        <w:rPr>
          <w:rFonts w:ascii="Arial" w:eastAsia="ArialMT" w:hAnsi="Arial" w:cs="Arial"/>
          <w:sz w:val="24"/>
          <w:szCs w:val="24"/>
        </w:rPr>
        <w:t xml:space="preserve"> </w:t>
      </w:r>
      <w:r w:rsidR="00751D59">
        <w:rPr>
          <w:rFonts w:ascii="Arial" w:eastAsia="ArialMT" w:hAnsi="Arial" w:cs="Arial"/>
          <w:sz w:val="24"/>
          <w:szCs w:val="24"/>
        </w:rPr>
        <w:t>Por otra parte, desde la oficina de Transparencia, c</w:t>
      </w:r>
      <w:r w:rsidRPr="00C4548F">
        <w:rPr>
          <w:rFonts w:ascii="Arial" w:eastAsia="ArialMT" w:hAnsi="Arial" w:cs="Arial"/>
          <w:sz w:val="24"/>
          <w:szCs w:val="24"/>
        </w:rPr>
        <w:t>on el objeto de facilitar el acceso a la información, así como su adaptación a la nueva Ley de procedimiento administrativo, la tramitación se puede realizar tanto de forma tradicional (en papel)</w:t>
      </w:r>
      <w:r w:rsidR="00751D59">
        <w:rPr>
          <w:rFonts w:ascii="Arial" w:eastAsia="ArialMT" w:hAnsi="Arial" w:cs="Arial"/>
          <w:sz w:val="24"/>
          <w:szCs w:val="24"/>
        </w:rPr>
        <w:t>, para los sujetos no obligados a realizar la tramitación electrónica</w:t>
      </w:r>
      <w:r w:rsidRPr="00C4548F">
        <w:rPr>
          <w:rFonts w:ascii="Arial" w:eastAsia="ArialMT" w:hAnsi="Arial" w:cs="Arial"/>
          <w:sz w:val="24"/>
          <w:szCs w:val="24"/>
        </w:rPr>
        <w:t xml:space="preserve"> como por el procedimiento establecido en la sede electrónica de la Web municipal</w:t>
      </w:r>
      <w:r w:rsidR="00751D59">
        <w:rPr>
          <w:rFonts w:ascii="Arial" w:eastAsia="ArialMT" w:hAnsi="Arial" w:cs="Arial"/>
          <w:sz w:val="24"/>
          <w:szCs w:val="24"/>
        </w:rPr>
        <w:t>, para los ciudadanos que decidan realizarla y para los obligados a realizar este tipo de tramitación</w:t>
      </w:r>
      <w:r w:rsidRPr="00C4548F">
        <w:rPr>
          <w:rFonts w:ascii="Arial" w:eastAsia="ArialMT" w:hAnsi="Arial" w:cs="Arial"/>
          <w:sz w:val="24"/>
          <w:szCs w:val="24"/>
        </w:rPr>
        <w:t>.</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Dotación de recursos para puesta en marcha: </w:t>
      </w:r>
      <w:r w:rsidR="00751D59">
        <w:rPr>
          <w:rFonts w:ascii="Arial" w:eastAsia="ArialMT" w:hAnsi="Arial" w:cs="Arial"/>
          <w:sz w:val="24"/>
          <w:szCs w:val="24"/>
        </w:rPr>
        <w:t>9</w:t>
      </w:r>
      <w:r w:rsidRPr="00C4548F">
        <w:rPr>
          <w:rFonts w:ascii="Arial" w:eastAsia="ArialMT" w:hAnsi="Arial" w:cs="Arial"/>
          <w:sz w:val="24"/>
          <w:szCs w:val="24"/>
        </w:rPr>
        <w:t>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Realización de la acción: </w:t>
      </w:r>
      <w:r w:rsidR="00751D59">
        <w:rPr>
          <w:rFonts w:ascii="Arial" w:eastAsia="ArialMT" w:hAnsi="Arial" w:cs="Arial"/>
          <w:sz w:val="24"/>
          <w:szCs w:val="24"/>
        </w:rPr>
        <w:t>9</w:t>
      </w:r>
      <w:r w:rsidRPr="00C4548F">
        <w:rPr>
          <w:rFonts w:ascii="Arial" w:eastAsia="ArialMT" w:hAnsi="Arial" w:cs="Arial"/>
          <w:sz w:val="24"/>
          <w:szCs w:val="24"/>
        </w:rPr>
        <w:t>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Medición de resultados: </w:t>
      </w:r>
      <w:r w:rsidR="00751D59">
        <w:rPr>
          <w:rFonts w:ascii="Arial" w:eastAsia="ArialMT" w:hAnsi="Arial" w:cs="Arial"/>
          <w:sz w:val="24"/>
          <w:szCs w:val="24"/>
        </w:rPr>
        <w:t>7</w:t>
      </w:r>
      <w:r w:rsidRPr="00C4548F">
        <w:rPr>
          <w:rFonts w:ascii="Arial" w:eastAsia="ArialMT" w:hAnsi="Arial" w:cs="Arial"/>
          <w:sz w:val="24"/>
          <w:szCs w:val="24"/>
        </w:rPr>
        <w:t>0% (</w:t>
      </w:r>
      <w:r w:rsidRPr="00751D59">
        <w:rPr>
          <w:rFonts w:ascii="Arial" w:eastAsia="ArialMT" w:hAnsi="Arial" w:cs="Arial"/>
          <w:color w:val="000000" w:themeColor="text1"/>
          <w:sz w:val="24"/>
          <w:szCs w:val="24"/>
        </w:rPr>
        <w:t>No se han realizado evaluaciones de la generación de confianza de los ciudadanos</w:t>
      </w:r>
      <w:r w:rsidRPr="00C4548F">
        <w:rPr>
          <w:rFonts w:ascii="Arial" w:eastAsia="ArialMT" w:hAnsi="Arial" w:cs="Arial"/>
          <w:sz w:val="24"/>
          <w:szCs w:val="24"/>
        </w:rPr>
        <w:t>).</w:t>
      </w: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MT" w:hAnsi="Arial" w:cs="Arial"/>
          <w:b/>
          <w:sz w:val="24"/>
          <w:szCs w:val="24"/>
          <w:u w:val="single"/>
        </w:rPr>
      </w:pPr>
      <w:r w:rsidRPr="00751D59">
        <w:rPr>
          <w:rFonts w:ascii="Arial" w:eastAsia="ArialMT" w:hAnsi="Arial" w:cs="Arial"/>
          <w:b/>
          <w:sz w:val="24"/>
          <w:szCs w:val="24"/>
          <w:u w:val="single"/>
        </w:rPr>
        <w:t>- Participación ciudadana y constante comunicación con agentes sociales.</w:t>
      </w:r>
    </w:p>
    <w:p w:rsidR="00CD1EC8" w:rsidRPr="00C4548F" w:rsidRDefault="00CD1EC8" w:rsidP="00CD1EC8">
      <w:pPr>
        <w:suppressAutoHyphens/>
        <w:spacing w:after="0" w:line="240" w:lineRule="auto"/>
        <w:jc w:val="both"/>
        <w:rPr>
          <w:rFonts w:ascii="Arial" w:eastAsia="ArialMT" w:hAnsi="Arial" w:cs="Arial"/>
          <w:b/>
          <w:sz w:val="24"/>
          <w:szCs w:val="24"/>
          <w:u w:val="single"/>
        </w:rPr>
      </w:pPr>
    </w:p>
    <w:p w:rsidR="00CD1EC8" w:rsidRDefault="00CD1EC8" w:rsidP="00CD1EC8">
      <w:pPr>
        <w:suppressAutoHyphens/>
        <w:spacing w:after="0" w:line="240" w:lineRule="auto"/>
        <w:jc w:val="both"/>
        <w:rPr>
          <w:rFonts w:ascii="Arial" w:eastAsia="ArialMT" w:hAnsi="Arial" w:cs="Arial"/>
          <w:sz w:val="24"/>
          <w:szCs w:val="24"/>
        </w:rPr>
      </w:pPr>
      <w:r w:rsidRPr="00C4548F">
        <w:rPr>
          <w:rFonts w:ascii="Arial" w:eastAsia="Arial-BoldMT" w:hAnsi="Arial" w:cs="Arial"/>
          <w:b/>
          <w:sz w:val="24"/>
          <w:szCs w:val="24"/>
        </w:rPr>
        <w:tab/>
      </w:r>
      <w:r w:rsidRPr="00C4548F">
        <w:rPr>
          <w:rFonts w:ascii="Arial" w:eastAsia="ArialMT" w:hAnsi="Arial" w:cs="Arial"/>
          <w:sz w:val="24"/>
          <w:szCs w:val="24"/>
        </w:rPr>
        <w:t>En un principio, Transparencia dependía del Área de Transparencia y Buen Gobierno. Por resolución de 13 de septiembre de 2017 se crearon nuevas Áreas: la de Desarrollo sostenible y Transparencia y la de Participación Ciudadana y Buen Gobierno. El 4 de octubre de 2018 se aprobó la última restructuración de Áreas creándose la de Servicios Públicos, Participación Ciudadana y Festejos. Desde éste Área se debe de dar respuesta a este apartado, ya que desde sus servicios se gestionan las acciones de participación ciudadana y de comunicación con los agentes sociales.</w:t>
      </w:r>
    </w:p>
    <w:p w:rsidR="00751D59" w:rsidRDefault="00751D59" w:rsidP="00CD1EC8">
      <w:pPr>
        <w:suppressAutoHyphens/>
        <w:spacing w:after="0" w:line="240" w:lineRule="auto"/>
        <w:jc w:val="both"/>
        <w:rPr>
          <w:rFonts w:ascii="Arial" w:eastAsia="ArialMT" w:hAnsi="Arial" w:cs="Arial"/>
          <w:sz w:val="24"/>
          <w:szCs w:val="24"/>
        </w:rPr>
      </w:pPr>
    </w:p>
    <w:p w:rsidR="00751D59" w:rsidRPr="00C4548F" w:rsidRDefault="00751D59"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BoldMT" w:hAnsi="Arial" w:cs="Arial"/>
          <w:b/>
          <w:sz w:val="24"/>
          <w:szCs w:val="24"/>
          <w:u w:val="single"/>
        </w:rPr>
      </w:pPr>
      <w:r w:rsidRPr="00751D59">
        <w:rPr>
          <w:rFonts w:ascii="Arial" w:eastAsia="ArialMT" w:hAnsi="Arial" w:cs="Arial"/>
          <w:sz w:val="24"/>
          <w:szCs w:val="24"/>
        </w:rPr>
        <w:lastRenderedPageBreak/>
        <w:t xml:space="preserve">- </w:t>
      </w:r>
      <w:r w:rsidRPr="00751D59">
        <w:rPr>
          <w:rFonts w:ascii="Arial" w:eastAsia="Arial-BoldMT" w:hAnsi="Arial" w:cs="Arial"/>
          <w:b/>
          <w:sz w:val="24"/>
          <w:szCs w:val="24"/>
          <w:u w:val="single"/>
        </w:rPr>
        <w:t>Oficina de Transparencia, ubicada en el edificio administrativo de San Miguel, que facilita el acceso a los vecinos de los datos y asuntos que demanden.</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ab/>
        <w:t>Tras las elecciones municipales de 2015, se creó el Área de Gobierno de Transparencia y Buen Gobierno por decreto de 16 de junio, y dentro de su</w:t>
      </w:r>
      <w:r>
        <w:rPr>
          <w:rFonts w:ascii="Arial" w:eastAsia="ArialMT" w:hAnsi="Arial" w:cs="Arial"/>
          <w:sz w:val="24"/>
          <w:szCs w:val="24"/>
        </w:rPr>
        <w:t>s competencias</w:t>
      </w:r>
      <w:r w:rsidRPr="00C4548F">
        <w:rPr>
          <w:rFonts w:ascii="Arial" w:eastAsia="ArialMT" w:hAnsi="Arial" w:cs="Arial"/>
          <w:sz w:val="24"/>
          <w:szCs w:val="24"/>
        </w:rPr>
        <w:t xml:space="preserve"> se encontraba la Oficina de Transparencia. La ubicación física de la Oficina de Transparencia </w:t>
      </w:r>
      <w:r>
        <w:rPr>
          <w:rFonts w:ascii="Arial" w:eastAsia="ArialMT" w:hAnsi="Arial" w:cs="Arial"/>
          <w:sz w:val="24"/>
          <w:szCs w:val="24"/>
        </w:rPr>
        <w:t xml:space="preserve">en un principio se encontraba en la primera planta del edificio de San Miguel, pero </w:t>
      </w:r>
      <w:r w:rsidRPr="00C4548F">
        <w:rPr>
          <w:rFonts w:ascii="Arial" w:eastAsia="ArialMT" w:hAnsi="Arial" w:cs="Arial"/>
          <w:sz w:val="24"/>
          <w:szCs w:val="24"/>
        </w:rPr>
        <w:t>ha cambiado tras la reestructuración de las nuevas áreas de Gobierno, situándose en la actualidad en la tercera planta del Edificio de San Miguel.</w:t>
      </w:r>
      <w:r>
        <w:rPr>
          <w:rFonts w:ascii="Arial" w:eastAsia="ArialMT" w:hAnsi="Arial" w:cs="Arial"/>
          <w:sz w:val="24"/>
          <w:szCs w:val="24"/>
        </w:rPr>
        <w:t xml:space="preserve"> Figura dotada en el anexo de personal del presupuesto con un jefe de servicio y dos auxiliares administrativos.</w:t>
      </w: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 xml:space="preserve"> </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Dotación de recursos para puesta en marcha: 100%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100%</w:t>
      </w: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BoldMT" w:hAnsi="Arial" w:cs="Arial"/>
          <w:b/>
          <w:sz w:val="24"/>
          <w:szCs w:val="24"/>
        </w:rPr>
      </w:pPr>
      <w:r w:rsidRPr="00751D59">
        <w:rPr>
          <w:rFonts w:ascii="Arial" w:eastAsia="ArialMT" w:hAnsi="Arial" w:cs="Arial"/>
          <w:sz w:val="24"/>
          <w:szCs w:val="24"/>
        </w:rPr>
        <w:t xml:space="preserve">- </w:t>
      </w:r>
      <w:r w:rsidRPr="00751D59">
        <w:rPr>
          <w:rFonts w:ascii="Arial" w:eastAsia="Arial-BoldMT" w:hAnsi="Arial" w:cs="Arial"/>
          <w:b/>
          <w:sz w:val="24"/>
          <w:szCs w:val="24"/>
        </w:rPr>
        <w:t>Portal de Transparencia del Ayuntamiento de Cartagena.</w:t>
      </w: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C4548F" w:rsidRDefault="00CD1EC8" w:rsidP="00CD1EC8">
      <w:pPr>
        <w:suppressAutoHyphens/>
        <w:spacing w:after="0" w:line="240" w:lineRule="auto"/>
        <w:ind w:firstLine="708"/>
        <w:jc w:val="both"/>
        <w:rPr>
          <w:rFonts w:ascii="Arial" w:eastAsia="ArialMT" w:hAnsi="Arial" w:cs="Arial"/>
          <w:sz w:val="24"/>
          <w:szCs w:val="24"/>
        </w:rPr>
      </w:pPr>
      <w:r w:rsidRPr="00C4548F">
        <w:rPr>
          <w:rFonts w:ascii="Arial" w:eastAsia="ArialMT" w:hAnsi="Arial" w:cs="Arial"/>
          <w:sz w:val="24"/>
          <w:szCs w:val="24"/>
        </w:rPr>
        <w:t>Esta herramienta acerca la administración al ciudadano, facilitando el acceso a la información municipal, cumpliendo el Ejecutivo local con la Ley 19/2013 de 9 de diciembre, de transparencia, acceso a la información pública y buen gobierno, a través de una estructura clara y de fácil accesibilidad, valiéndose de gráficos y buscadores web. De este modo, el ciudadano puede acceder a información relativa a la composición del Gobierno de la ciudad, presupuestos, estadísticas municipales, trámites, etc. Como hemos visto, el 3 de diciembre de 2015 se puso en marcha el Portal de Transparencia incluido en la Web municipal del Ayuntamiento. El Portal es objeto de constante actualización e incorporación de nuevos contenidos, con el objetivo, no solo de cumplir con lo establecido en la Ley 19/2013 de Transparencia, sino con lo establecido en otras Leyes como la de Contratos de las Administraciones Públicas, en cuanto a sus exigencias de publicidad de las actuaciones administrativas.</w:t>
      </w:r>
    </w:p>
    <w:p w:rsidR="00CD1EC8" w:rsidRPr="00C4548F" w:rsidRDefault="00CD1EC8" w:rsidP="00CD1EC8">
      <w:pPr>
        <w:suppressAutoHyphens/>
        <w:spacing w:after="0" w:line="240" w:lineRule="auto"/>
        <w:ind w:firstLine="708"/>
        <w:jc w:val="both"/>
        <w:rPr>
          <w:rFonts w:ascii="Arial" w:eastAsia="ArialMT" w:hAnsi="Arial" w:cs="Arial"/>
          <w:sz w:val="24"/>
          <w:szCs w:val="24"/>
        </w:rPr>
      </w:pP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Dotación de recursos para puesta en marcha: 100%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100%</w:t>
      </w: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MT" w:hAnsi="Arial" w:cs="Arial"/>
          <w:b/>
          <w:sz w:val="24"/>
          <w:szCs w:val="24"/>
        </w:rPr>
      </w:pPr>
      <w:r w:rsidRPr="00751D59">
        <w:rPr>
          <w:rFonts w:ascii="Arial" w:eastAsia="ArialMT" w:hAnsi="Arial" w:cs="Arial"/>
          <w:sz w:val="24"/>
          <w:szCs w:val="24"/>
        </w:rPr>
        <w:t xml:space="preserve">- </w:t>
      </w:r>
      <w:r w:rsidRPr="00751D59">
        <w:rPr>
          <w:rFonts w:ascii="Arial" w:eastAsia="ArialMT" w:hAnsi="Arial" w:cs="Arial"/>
          <w:b/>
          <w:sz w:val="24"/>
          <w:szCs w:val="24"/>
        </w:rPr>
        <w:t>Formación del personal público de los distintos servicios municipales en la Ley de Transparencia.</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ab/>
        <w:t>Para el desarrollo de este objetivo, durante el ejercicio 2016 se realizaron por medio de contratación externa con empresa especializada los siguientes talleres formativos cuya información figura en la Web municipal:</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Default="00CD1EC8" w:rsidP="00CD1EC8">
      <w:pPr>
        <w:suppressAutoHyphens/>
        <w:spacing w:after="0" w:line="240" w:lineRule="auto"/>
        <w:jc w:val="both"/>
        <w:rPr>
          <w:rFonts w:ascii="Arial" w:hAnsi="Arial" w:cs="Arial"/>
          <w:sz w:val="24"/>
          <w:szCs w:val="24"/>
        </w:rPr>
      </w:pPr>
      <w:r w:rsidRPr="00C4548F">
        <w:rPr>
          <w:rFonts w:ascii="Arial" w:hAnsi="Arial" w:cs="Arial"/>
          <w:sz w:val="24"/>
          <w:szCs w:val="24"/>
        </w:rPr>
        <w:t>COMUNICAR LA TRANSPARENCIA</w:t>
      </w:r>
    </w:p>
    <w:p w:rsidR="00CD1EC8" w:rsidRPr="00C4548F" w:rsidRDefault="00CD1EC8" w:rsidP="00CD1EC8">
      <w:pPr>
        <w:suppressAutoHyphens/>
        <w:spacing w:after="0" w:line="240" w:lineRule="auto"/>
        <w:jc w:val="both"/>
        <w:rPr>
          <w:rFonts w:ascii="Arial" w:hAnsi="Arial" w:cs="Arial"/>
          <w:sz w:val="24"/>
          <w:szCs w:val="24"/>
        </w:rPr>
      </w:pPr>
      <w:r w:rsidRPr="00C4548F">
        <w:rPr>
          <w:rFonts w:ascii="Arial" w:hAnsi="Arial" w:cs="Arial"/>
          <w:sz w:val="24"/>
          <w:szCs w:val="24"/>
        </w:rPr>
        <w:t xml:space="preserve"> </w:t>
      </w:r>
      <w:hyperlink r:id="rId10" w:history="1">
        <w:r w:rsidRPr="00C4548F">
          <w:rPr>
            <w:rStyle w:val="Hipervnculo"/>
            <w:rFonts w:ascii="Arial" w:hAnsi="Arial" w:cs="Arial"/>
            <w:sz w:val="24"/>
            <w:szCs w:val="24"/>
          </w:rPr>
          <w:t>https://www.cartagena.es/gestion/documentos/19514.pdf</w:t>
        </w:r>
      </w:hyperlink>
    </w:p>
    <w:p w:rsidR="00CD1EC8" w:rsidRPr="00C4548F" w:rsidRDefault="00CD1EC8" w:rsidP="00CD1EC8">
      <w:pPr>
        <w:suppressAutoHyphens/>
        <w:spacing w:after="0" w:line="240" w:lineRule="auto"/>
        <w:jc w:val="both"/>
        <w:rPr>
          <w:rFonts w:ascii="Arial" w:hAnsi="Arial" w:cs="Arial"/>
          <w:sz w:val="24"/>
          <w:szCs w:val="24"/>
        </w:rPr>
      </w:pPr>
    </w:p>
    <w:p w:rsidR="00CD1EC8" w:rsidRDefault="00CD1EC8" w:rsidP="00CD1EC8">
      <w:pPr>
        <w:suppressAutoHyphens/>
        <w:spacing w:after="0" w:line="240" w:lineRule="auto"/>
        <w:jc w:val="both"/>
        <w:rPr>
          <w:rFonts w:ascii="Arial" w:hAnsi="Arial" w:cs="Arial"/>
          <w:sz w:val="24"/>
          <w:szCs w:val="24"/>
        </w:rPr>
      </w:pPr>
      <w:r w:rsidRPr="00C4548F">
        <w:rPr>
          <w:rFonts w:ascii="Arial" w:hAnsi="Arial" w:cs="Arial"/>
          <w:sz w:val="24"/>
          <w:szCs w:val="24"/>
        </w:rPr>
        <w:t xml:space="preserve">TRANSPARENCIA PARA EMPLEADOS PÚBLICOS MUNICIPALES  </w:t>
      </w:r>
    </w:p>
    <w:p w:rsidR="00CD1EC8" w:rsidRPr="00C4548F" w:rsidRDefault="00081EF5" w:rsidP="00CD1EC8">
      <w:pPr>
        <w:suppressAutoHyphens/>
        <w:spacing w:after="0" w:line="240" w:lineRule="auto"/>
        <w:jc w:val="both"/>
        <w:rPr>
          <w:rFonts w:ascii="Arial" w:hAnsi="Arial" w:cs="Arial"/>
          <w:sz w:val="24"/>
          <w:szCs w:val="24"/>
        </w:rPr>
      </w:pPr>
      <w:hyperlink r:id="rId11" w:history="1">
        <w:r w:rsidR="00CD1EC8" w:rsidRPr="00C4548F">
          <w:rPr>
            <w:rStyle w:val="Hipervnculo"/>
            <w:rFonts w:ascii="Arial" w:hAnsi="Arial" w:cs="Arial"/>
            <w:sz w:val="24"/>
            <w:szCs w:val="24"/>
          </w:rPr>
          <w:t>https://www.cartagena.es/gestion/documentos/19515.pdf</w:t>
        </w:r>
      </w:hyperlink>
    </w:p>
    <w:p w:rsidR="00CD1EC8" w:rsidRPr="00C4548F" w:rsidRDefault="00CD1EC8" w:rsidP="00CD1EC8">
      <w:pPr>
        <w:suppressAutoHyphens/>
        <w:spacing w:after="0" w:line="240" w:lineRule="auto"/>
        <w:jc w:val="both"/>
        <w:rPr>
          <w:rFonts w:ascii="Arial" w:hAnsi="Arial" w:cs="Arial"/>
          <w:sz w:val="24"/>
          <w:szCs w:val="24"/>
        </w:rPr>
      </w:pPr>
      <w:r w:rsidRPr="00C4548F">
        <w:rPr>
          <w:rFonts w:ascii="Arial" w:hAnsi="Arial" w:cs="Arial"/>
          <w:sz w:val="24"/>
          <w:szCs w:val="24"/>
        </w:rPr>
        <w:t xml:space="preserve">TRANSPARENCIA PARA ASOCIACIONES, </w:t>
      </w:r>
      <w:proofErr w:type="spellStart"/>
      <w:r w:rsidRPr="00C4548F">
        <w:rPr>
          <w:rFonts w:ascii="Arial" w:hAnsi="Arial" w:cs="Arial"/>
          <w:sz w:val="24"/>
          <w:szCs w:val="24"/>
        </w:rPr>
        <w:t>ONG´s</w:t>
      </w:r>
      <w:proofErr w:type="spellEnd"/>
      <w:r w:rsidRPr="00C4548F">
        <w:rPr>
          <w:rFonts w:ascii="Arial" w:hAnsi="Arial" w:cs="Arial"/>
          <w:sz w:val="24"/>
          <w:szCs w:val="24"/>
        </w:rPr>
        <w:t xml:space="preserve"> Y COLEGIOS PROFESIONALES  </w:t>
      </w:r>
      <w:hyperlink r:id="rId12" w:history="1">
        <w:r w:rsidRPr="00C4548F">
          <w:rPr>
            <w:rStyle w:val="Hipervnculo"/>
            <w:rFonts w:ascii="Arial" w:hAnsi="Arial" w:cs="Arial"/>
            <w:sz w:val="24"/>
            <w:szCs w:val="24"/>
          </w:rPr>
          <w:t>https://www.cartagena.es/gestion/documentos/19516.pdf</w:t>
        </w:r>
      </w:hyperlink>
    </w:p>
    <w:p w:rsidR="00CD1EC8" w:rsidRDefault="00CD1EC8" w:rsidP="00CD1EC8">
      <w:pPr>
        <w:suppressAutoHyphens/>
        <w:spacing w:after="0" w:line="240" w:lineRule="auto"/>
        <w:jc w:val="both"/>
        <w:rPr>
          <w:rFonts w:ascii="Arial" w:hAnsi="Arial" w:cs="Arial"/>
          <w:sz w:val="24"/>
          <w:szCs w:val="24"/>
        </w:rPr>
      </w:pPr>
      <w:r w:rsidRPr="00C4548F">
        <w:rPr>
          <w:rFonts w:ascii="Arial" w:hAnsi="Arial" w:cs="Arial"/>
          <w:sz w:val="24"/>
          <w:szCs w:val="24"/>
        </w:rPr>
        <w:t xml:space="preserve">TRANSPARENCIA EN EL SECTOR PÚBLICO LOCAL  </w:t>
      </w:r>
    </w:p>
    <w:p w:rsidR="00CD1EC8" w:rsidRPr="00C4548F" w:rsidRDefault="00081EF5" w:rsidP="00CD1EC8">
      <w:pPr>
        <w:suppressAutoHyphens/>
        <w:spacing w:after="0" w:line="240" w:lineRule="auto"/>
        <w:jc w:val="both"/>
        <w:rPr>
          <w:rFonts w:ascii="Arial" w:hAnsi="Arial" w:cs="Arial"/>
          <w:sz w:val="24"/>
          <w:szCs w:val="24"/>
        </w:rPr>
      </w:pPr>
      <w:hyperlink r:id="rId13" w:history="1">
        <w:r w:rsidR="00CD1EC8" w:rsidRPr="00C4548F">
          <w:rPr>
            <w:rStyle w:val="Hipervnculo"/>
            <w:rFonts w:ascii="Arial" w:hAnsi="Arial" w:cs="Arial"/>
            <w:sz w:val="24"/>
            <w:szCs w:val="24"/>
          </w:rPr>
          <w:t>https://www.cartagena.es/gestion/documentos/19517.pdf</w:t>
        </w:r>
      </w:hyperlink>
    </w:p>
    <w:p w:rsidR="00CD1EC8" w:rsidRDefault="00CD1EC8" w:rsidP="00CD1EC8">
      <w:pPr>
        <w:suppressAutoHyphens/>
        <w:spacing w:after="0" w:line="240" w:lineRule="auto"/>
        <w:jc w:val="both"/>
        <w:rPr>
          <w:rFonts w:ascii="Arial" w:hAnsi="Arial" w:cs="Arial"/>
          <w:sz w:val="24"/>
          <w:szCs w:val="24"/>
        </w:rPr>
      </w:pPr>
      <w:r w:rsidRPr="00C4548F">
        <w:rPr>
          <w:rFonts w:ascii="Arial" w:hAnsi="Arial" w:cs="Arial"/>
          <w:sz w:val="24"/>
          <w:szCs w:val="24"/>
        </w:rPr>
        <w:t xml:space="preserve">TRANSPARENCIA EN LA CONTRATACION PUBLICA  </w:t>
      </w:r>
    </w:p>
    <w:p w:rsidR="00CD1EC8" w:rsidRPr="00C4548F" w:rsidRDefault="00081EF5" w:rsidP="00CD1EC8">
      <w:pPr>
        <w:suppressAutoHyphens/>
        <w:spacing w:after="0" w:line="240" w:lineRule="auto"/>
        <w:jc w:val="both"/>
        <w:rPr>
          <w:rFonts w:ascii="Arial" w:hAnsi="Arial" w:cs="Arial"/>
          <w:sz w:val="24"/>
          <w:szCs w:val="24"/>
        </w:rPr>
      </w:pPr>
      <w:hyperlink r:id="rId14" w:history="1">
        <w:r w:rsidR="00CD1EC8" w:rsidRPr="00C4548F">
          <w:rPr>
            <w:rStyle w:val="Hipervnculo"/>
            <w:rFonts w:ascii="Arial" w:hAnsi="Arial" w:cs="Arial"/>
            <w:sz w:val="24"/>
            <w:szCs w:val="24"/>
          </w:rPr>
          <w:t>https://www.cartagena.es/gestion/documentos/19518.pdf</w:t>
        </w:r>
      </w:hyperlink>
    </w:p>
    <w:p w:rsidR="00CD1EC8" w:rsidRDefault="00CD1EC8" w:rsidP="00CD1EC8">
      <w:pPr>
        <w:suppressAutoHyphens/>
        <w:spacing w:after="0" w:line="240" w:lineRule="auto"/>
        <w:jc w:val="both"/>
        <w:rPr>
          <w:rFonts w:ascii="Arial" w:hAnsi="Arial" w:cs="Arial"/>
          <w:sz w:val="24"/>
          <w:szCs w:val="24"/>
        </w:rPr>
      </w:pPr>
      <w:r w:rsidRPr="00C4548F">
        <w:rPr>
          <w:rFonts w:ascii="Arial" w:hAnsi="Arial" w:cs="Arial"/>
          <w:sz w:val="24"/>
          <w:szCs w:val="24"/>
        </w:rPr>
        <w:t xml:space="preserve">TRANSPARENCIA EN LAS JUNTAS MUNICIPALES  </w:t>
      </w:r>
    </w:p>
    <w:p w:rsidR="00CD1EC8" w:rsidRPr="00C4548F" w:rsidRDefault="00081EF5" w:rsidP="00CD1EC8">
      <w:pPr>
        <w:suppressAutoHyphens/>
        <w:spacing w:after="0" w:line="240" w:lineRule="auto"/>
        <w:jc w:val="both"/>
        <w:rPr>
          <w:rFonts w:ascii="Arial" w:hAnsi="Arial" w:cs="Arial"/>
          <w:sz w:val="24"/>
          <w:szCs w:val="24"/>
        </w:rPr>
      </w:pPr>
      <w:hyperlink r:id="rId15" w:history="1">
        <w:r w:rsidR="00CD1EC8" w:rsidRPr="00C4548F">
          <w:rPr>
            <w:rStyle w:val="Hipervnculo"/>
            <w:rFonts w:ascii="Arial" w:hAnsi="Arial" w:cs="Arial"/>
            <w:sz w:val="24"/>
            <w:szCs w:val="24"/>
          </w:rPr>
          <w:t>https://www.cartagena.es/gestion/documentos/19519.pdf</w:t>
        </w:r>
      </w:hyperlink>
    </w:p>
    <w:p w:rsidR="00CD1EC8" w:rsidRDefault="00CD1EC8" w:rsidP="00CD1EC8">
      <w:pPr>
        <w:suppressAutoHyphens/>
        <w:spacing w:after="0" w:line="240" w:lineRule="auto"/>
        <w:jc w:val="both"/>
        <w:rPr>
          <w:rFonts w:ascii="Arial" w:hAnsi="Arial" w:cs="Arial"/>
          <w:sz w:val="24"/>
          <w:szCs w:val="24"/>
        </w:rPr>
      </w:pPr>
    </w:p>
    <w:p w:rsidR="00F942A1" w:rsidRDefault="00F942A1" w:rsidP="00CD1EC8">
      <w:pPr>
        <w:suppressAutoHyphens/>
        <w:spacing w:after="0" w:line="240" w:lineRule="auto"/>
        <w:jc w:val="both"/>
        <w:rPr>
          <w:rFonts w:ascii="Arial" w:hAnsi="Arial" w:cs="Arial"/>
          <w:sz w:val="24"/>
          <w:szCs w:val="24"/>
        </w:rPr>
      </w:pPr>
      <w:r>
        <w:rPr>
          <w:rFonts w:ascii="Arial" w:hAnsi="Arial" w:cs="Arial"/>
          <w:sz w:val="24"/>
          <w:szCs w:val="24"/>
        </w:rPr>
        <w:t>Asimismo, se impartieron cursos a los empleados públicos:</w:t>
      </w:r>
    </w:p>
    <w:p w:rsidR="00F942A1" w:rsidRPr="00F942A1" w:rsidRDefault="00F942A1" w:rsidP="00F942A1">
      <w:pPr>
        <w:suppressAutoHyphens/>
        <w:spacing w:after="0" w:line="240" w:lineRule="auto"/>
        <w:jc w:val="both"/>
        <w:rPr>
          <w:rFonts w:ascii="Arial" w:hAnsi="Arial" w:cs="Arial"/>
          <w:sz w:val="24"/>
          <w:szCs w:val="24"/>
        </w:rPr>
      </w:pPr>
      <w:r w:rsidRPr="00F942A1">
        <w:rPr>
          <w:rFonts w:ascii="Arial" w:hAnsi="Arial" w:cs="Arial"/>
          <w:sz w:val="24"/>
          <w:szCs w:val="24"/>
        </w:rPr>
        <w:t>OTROS CURSOS:</w:t>
      </w:r>
    </w:p>
    <w:p w:rsidR="00F942A1" w:rsidRPr="00F942A1" w:rsidRDefault="00F942A1" w:rsidP="00F942A1">
      <w:pPr>
        <w:suppressAutoHyphens/>
        <w:spacing w:after="0" w:line="240" w:lineRule="auto"/>
        <w:jc w:val="both"/>
        <w:rPr>
          <w:rFonts w:ascii="Arial" w:hAnsi="Arial" w:cs="Arial"/>
          <w:sz w:val="24"/>
          <w:szCs w:val="24"/>
        </w:rPr>
      </w:pPr>
    </w:p>
    <w:p w:rsidR="00F942A1" w:rsidRPr="00F942A1" w:rsidRDefault="00F942A1" w:rsidP="00F942A1">
      <w:pPr>
        <w:suppressAutoHyphens/>
        <w:spacing w:after="0" w:line="240" w:lineRule="auto"/>
        <w:jc w:val="both"/>
        <w:rPr>
          <w:rFonts w:ascii="Arial" w:hAnsi="Arial" w:cs="Arial"/>
          <w:sz w:val="24"/>
          <w:szCs w:val="24"/>
        </w:rPr>
      </w:pPr>
      <w:r>
        <w:rPr>
          <w:rFonts w:ascii="Arial" w:hAnsi="Arial" w:cs="Arial"/>
          <w:sz w:val="24"/>
          <w:szCs w:val="24"/>
        </w:rPr>
        <w:t xml:space="preserve">- </w:t>
      </w:r>
      <w:r w:rsidRPr="00F942A1">
        <w:rPr>
          <w:rFonts w:ascii="Arial" w:hAnsi="Arial" w:cs="Arial"/>
          <w:sz w:val="24"/>
          <w:szCs w:val="24"/>
        </w:rPr>
        <w:t>PROTECCIÓN DE DATOS Y TRANSPARENCIA</w:t>
      </w:r>
    </w:p>
    <w:p w:rsidR="00F942A1" w:rsidRDefault="00F942A1" w:rsidP="00F942A1">
      <w:pPr>
        <w:suppressAutoHyphens/>
        <w:spacing w:after="0" w:line="240" w:lineRule="auto"/>
        <w:jc w:val="both"/>
        <w:rPr>
          <w:rFonts w:ascii="Arial" w:hAnsi="Arial" w:cs="Arial"/>
          <w:sz w:val="24"/>
          <w:szCs w:val="24"/>
        </w:rPr>
      </w:pPr>
      <w:r>
        <w:rPr>
          <w:rFonts w:ascii="Arial" w:hAnsi="Arial" w:cs="Arial"/>
          <w:sz w:val="24"/>
          <w:szCs w:val="24"/>
        </w:rPr>
        <w:t xml:space="preserve">- </w:t>
      </w:r>
      <w:r w:rsidRPr="00F942A1">
        <w:rPr>
          <w:rFonts w:ascii="Arial" w:hAnsi="Arial" w:cs="Arial"/>
          <w:sz w:val="24"/>
          <w:szCs w:val="24"/>
        </w:rPr>
        <w:t>TRANSPARENCIA Y BUEN GOBIERNO</w:t>
      </w:r>
    </w:p>
    <w:p w:rsidR="00F942A1" w:rsidRPr="00C4548F" w:rsidRDefault="00F942A1" w:rsidP="00F942A1">
      <w:pPr>
        <w:suppressAutoHyphens/>
        <w:spacing w:after="0" w:line="240" w:lineRule="auto"/>
        <w:jc w:val="both"/>
        <w:rPr>
          <w:rFonts w:ascii="Arial" w:hAnsi="Arial" w:cs="Arial"/>
          <w:sz w:val="24"/>
          <w:szCs w:val="24"/>
        </w:rPr>
      </w:pP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Dotación de recursos para puesta en marcha: 100%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100%</w:t>
      </w: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MT" w:hAnsi="Arial" w:cs="Arial"/>
          <w:b/>
          <w:sz w:val="24"/>
          <w:szCs w:val="24"/>
        </w:rPr>
      </w:pPr>
      <w:r w:rsidRPr="00751D59">
        <w:rPr>
          <w:rFonts w:ascii="Arial" w:eastAsia="ArialMT" w:hAnsi="Arial" w:cs="Arial"/>
          <w:sz w:val="24"/>
          <w:szCs w:val="24"/>
        </w:rPr>
        <w:t xml:space="preserve">- </w:t>
      </w:r>
      <w:r w:rsidRPr="00751D59">
        <w:rPr>
          <w:rFonts w:ascii="Arial" w:eastAsia="ArialMT" w:hAnsi="Arial" w:cs="Arial"/>
          <w:b/>
          <w:sz w:val="24"/>
          <w:szCs w:val="24"/>
        </w:rPr>
        <w:t xml:space="preserve">Adhesión </w:t>
      </w:r>
      <w:r w:rsidRPr="00751D59">
        <w:rPr>
          <w:rFonts w:ascii="Arial" w:eastAsia="Arial-BoldMT" w:hAnsi="Arial" w:cs="Arial"/>
          <w:b/>
          <w:sz w:val="24"/>
          <w:szCs w:val="24"/>
        </w:rPr>
        <w:t xml:space="preserve">del Ayuntamiento de Cartagena a la </w:t>
      </w:r>
      <w:r w:rsidRPr="00751D59">
        <w:rPr>
          <w:rFonts w:ascii="Arial" w:eastAsia="ArialMT" w:hAnsi="Arial" w:cs="Arial"/>
          <w:b/>
          <w:sz w:val="24"/>
          <w:szCs w:val="24"/>
        </w:rPr>
        <w:t>Red de Entidades Locales por la Transparencia y la Participación Ciudadana de la Federación Española de Municipios y Provincias.</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 xml:space="preserve"> </w:t>
      </w:r>
      <w:r w:rsidRPr="00C4548F">
        <w:rPr>
          <w:rFonts w:ascii="Arial" w:eastAsia="ArialMT" w:hAnsi="Arial" w:cs="Arial"/>
          <w:sz w:val="24"/>
          <w:szCs w:val="24"/>
        </w:rPr>
        <w:tab/>
        <w:t xml:space="preserve">Por acuerdo Plenario de 24 de septiembre de 2015 el Ayuntamiento de Cartagena se </w:t>
      </w:r>
      <w:proofErr w:type="spellStart"/>
      <w:r w:rsidRPr="00C4548F">
        <w:rPr>
          <w:rFonts w:ascii="Arial" w:eastAsia="ArialMT" w:hAnsi="Arial" w:cs="Arial"/>
          <w:sz w:val="24"/>
          <w:szCs w:val="24"/>
        </w:rPr>
        <w:t>adherió</w:t>
      </w:r>
      <w:proofErr w:type="spellEnd"/>
      <w:r w:rsidRPr="00C4548F">
        <w:rPr>
          <w:rFonts w:ascii="Arial" w:eastAsia="ArialMT" w:hAnsi="Arial" w:cs="Arial"/>
          <w:sz w:val="24"/>
          <w:szCs w:val="24"/>
        </w:rPr>
        <w:t xml:space="preserve"> a la Red de Entidades Locales por la Transparencia y la Participación Ciudadana.</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Dotación de recursos para puesta en marcha: 100%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100%</w:t>
      </w: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MT" w:hAnsi="Arial" w:cs="Arial"/>
          <w:b/>
          <w:sz w:val="24"/>
          <w:szCs w:val="24"/>
        </w:rPr>
      </w:pPr>
      <w:r w:rsidRPr="00751D59">
        <w:rPr>
          <w:rFonts w:ascii="Arial" w:eastAsia="ArialMT" w:hAnsi="Arial" w:cs="Arial"/>
          <w:sz w:val="24"/>
          <w:szCs w:val="24"/>
        </w:rPr>
        <w:t xml:space="preserve">- </w:t>
      </w:r>
      <w:r w:rsidRPr="00751D59">
        <w:rPr>
          <w:rFonts w:ascii="Arial" w:eastAsia="ArialMT" w:hAnsi="Arial" w:cs="Arial"/>
          <w:b/>
          <w:sz w:val="24"/>
          <w:szCs w:val="24"/>
        </w:rPr>
        <w:t>Adhesión al Código de Buen Gobierno de la Federación Española de Municipios y Provincias.</w:t>
      </w:r>
    </w:p>
    <w:p w:rsidR="00CD1EC8" w:rsidRPr="00C4548F" w:rsidRDefault="00CD1EC8" w:rsidP="00CD1EC8">
      <w:pPr>
        <w:suppressAutoHyphens/>
        <w:spacing w:after="0" w:line="240" w:lineRule="auto"/>
        <w:jc w:val="both"/>
        <w:rPr>
          <w:rFonts w:ascii="Arial" w:eastAsia="ArialMT" w:hAnsi="Arial" w:cs="Arial"/>
          <w:b/>
          <w:sz w:val="24"/>
          <w:szCs w:val="24"/>
        </w:rPr>
      </w:pP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 xml:space="preserve">Por acuerdo Plenario de 27 de noviembre de 2015 el Ayuntamiento de Cartagena se </w:t>
      </w:r>
      <w:proofErr w:type="spellStart"/>
      <w:r w:rsidRPr="00C4548F">
        <w:rPr>
          <w:rFonts w:ascii="Arial" w:eastAsia="ArialMT" w:hAnsi="Arial" w:cs="Arial"/>
          <w:sz w:val="24"/>
          <w:szCs w:val="24"/>
        </w:rPr>
        <w:t>adherió</w:t>
      </w:r>
      <w:proofErr w:type="spellEnd"/>
      <w:r w:rsidRPr="00C4548F">
        <w:rPr>
          <w:rFonts w:ascii="Arial" w:eastAsia="ArialMT" w:hAnsi="Arial" w:cs="Arial"/>
          <w:sz w:val="24"/>
          <w:szCs w:val="24"/>
        </w:rPr>
        <w:t xml:space="preserve"> al Código de Buen Gobierno de la Federación Española de Municipios y Provincias.</w:t>
      </w:r>
    </w:p>
    <w:p w:rsidR="00CD1EC8" w:rsidRPr="00C4548F" w:rsidRDefault="00CD1EC8" w:rsidP="00CD1EC8">
      <w:pPr>
        <w:suppressAutoHyphens/>
        <w:spacing w:after="0" w:line="240" w:lineRule="auto"/>
        <w:ind w:firstLine="708"/>
        <w:jc w:val="both"/>
        <w:rPr>
          <w:rFonts w:ascii="Arial" w:eastAsia="ArialMT" w:hAnsi="Arial" w:cs="Arial"/>
          <w:sz w:val="24"/>
          <w:szCs w:val="24"/>
        </w:rPr>
      </w:pP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lastRenderedPageBreak/>
        <w:t>Dotación de recursos para puesta en marcha: 100%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100%</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MT" w:hAnsi="Arial" w:cs="Arial"/>
          <w:b/>
          <w:sz w:val="24"/>
          <w:szCs w:val="24"/>
        </w:rPr>
      </w:pPr>
      <w:r w:rsidRPr="00751D59">
        <w:rPr>
          <w:rFonts w:ascii="Arial" w:eastAsia="ArialMT" w:hAnsi="Arial" w:cs="Arial"/>
          <w:b/>
          <w:sz w:val="24"/>
          <w:szCs w:val="24"/>
        </w:rPr>
        <w:t>- Adhesión al Decálogo de Buenas Prácticas de la Comunicación Local Pública.</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081EF5">
      <w:pPr>
        <w:suppressAutoHyphens/>
        <w:spacing w:after="0" w:line="240" w:lineRule="auto"/>
        <w:ind w:firstLine="360"/>
        <w:jc w:val="both"/>
        <w:rPr>
          <w:rFonts w:ascii="Arial" w:eastAsia="ArialMT" w:hAnsi="Arial" w:cs="Arial"/>
          <w:sz w:val="24"/>
          <w:szCs w:val="24"/>
        </w:rPr>
      </w:pPr>
      <w:r w:rsidRPr="00C4548F">
        <w:rPr>
          <w:rFonts w:ascii="Arial" w:eastAsia="ArialMT" w:hAnsi="Arial" w:cs="Arial"/>
          <w:sz w:val="24"/>
          <w:szCs w:val="24"/>
        </w:rPr>
        <w:t xml:space="preserve">Por acuerdo Plenario de 27 de noviembre de 2015 el Ayuntamiento de Cartagena se </w:t>
      </w:r>
      <w:proofErr w:type="spellStart"/>
      <w:r w:rsidRPr="00C4548F">
        <w:rPr>
          <w:rFonts w:ascii="Arial" w:eastAsia="ArialMT" w:hAnsi="Arial" w:cs="Arial"/>
          <w:sz w:val="24"/>
          <w:szCs w:val="24"/>
        </w:rPr>
        <w:t>adherió</w:t>
      </w:r>
      <w:proofErr w:type="spellEnd"/>
      <w:r w:rsidRPr="00C4548F">
        <w:rPr>
          <w:rFonts w:ascii="Arial" w:eastAsia="ArialMT" w:hAnsi="Arial" w:cs="Arial"/>
          <w:sz w:val="24"/>
          <w:szCs w:val="24"/>
        </w:rPr>
        <w:t xml:space="preserve"> al Decálogo de Buenas Prácticas de la Comunicación Local Pública.</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ind w:firstLine="708"/>
        <w:jc w:val="both"/>
        <w:rPr>
          <w:rFonts w:ascii="Arial" w:eastAsia="ArialMT" w:hAnsi="Arial" w:cs="Arial"/>
          <w:sz w:val="24"/>
          <w:szCs w:val="24"/>
        </w:rPr>
      </w:pP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Dotación de recursos para puesta en marcha: 100%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100%</w:t>
      </w: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https://www.cartagena.es/gestion/documentos/acuerdosynormativas/4565.pdf</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751D59" w:rsidRDefault="00CD1EC8" w:rsidP="00751D59">
      <w:pPr>
        <w:pStyle w:val="Prrafodelista"/>
        <w:numPr>
          <w:ilvl w:val="0"/>
          <w:numId w:val="4"/>
        </w:numPr>
        <w:suppressAutoHyphens/>
        <w:spacing w:after="0" w:line="240" w:lineRule="auto"/>
        <w:jc w:val="both"/>
        <w:rPr>
          <w:rFonts w:ascii="Arial" w:eastAsia="ArialMT" w:hAnsi="Arial" w:cs="Arial"/>
          <w:b/>
          <w:sz w:val="24"/>
          <w:szCs w:val="24"/>
        </w:rPr>
      </w:pPr>
      <w:r w:rsidRPr="00751D59">
        <w:rPr>
          <w:rFonts w:ascii="Arial" w:eastAsia="ArialMT" w:hAnsi="Arial" w:cs="Arial"/>
          <w:sz w:val="24"/>
          <w:szCs w:val="24"/>
        </w:rPr>
        <w:t xml:space="preserve">- </w:t>
      </w:r>
      <w:r w:rsidRPr="00751D59">
        <w:rPr>
          <w:rFonts w:ascii="Arial" w:eastAsia="ArialMT" w:hAnsi="Arial" w:cs="Arial"/>
          <w:b/>
          <w:sz w:val="24"/>
          <w:szCs w:val="24"/>
        </w:rPr>
        <w:t>Trabajos de autoevaluación. Constante revisión del cumplimiento de las normativas vigentes acerca de transparencia.</w:t>
      </w:r>
    </w:p>
    <w:p w:rsidR="00CD1EC8" w:rsidRPr="00C4548F" w:rsidRDefault="00CD1EC8" w:rsidP="00CD1EC8">
      <w:pPr>
        <w:suppressAutoHyphens/>
        <w:spacing w:after="0" w:line="240" w:lineRule="auto"/>
        <w:jc w:val="both"/>
        <w:rPr>
          <w:rFonts w:ascii="Arial" w:eastAsia="ArialMT" w:hAnsi="Arial" w:cs="Arial"/>
          <w:b/>
          <w:sz w:val="24"/>
          <w:szCs w:val="24"/>
        </w:rPr>
      </w:pPr>
    </w:p>
    <w:p w:rsidR="00CD1EC8" w:rsidRDefault="00CD1EC8" w:rsidP="00CD1EC8">
      <w:pPr>
        <w:pStyle w:val="western"/>
        <w:spacing w:before="0" w:beforeAutospacing="0" w:after="0" w:line="360" w:lineRule="auto"/>
        <w:ind w:left="-142" w:right="-568" w:firstLine="709"/>
        <w:jc w:val="both"/>
        <w:rPr>
          <w:rFonts w:ascii="Arial" w:eastAsia="ArialMT" w:hAnsi="Arial" w:cs="Arial"/>
        </w:rPr>
      </w:pPr>
      <w:r w:rsidRPr="00C4548F">
        <w:rPr>
          <w:rFonts w:ascii="Arial" w:eastAsia="ArialMT" w:hAnsi="Arial" w:cs="Arial"/>
        </w:rPr>
        <w:t xml:space="preserve">En este sentido, desde el Ayuntamiento de Cartagena no se han realizado ni mediciones ni trabajos de autoevaluación sobre el grado de cumplimiento de las obligaciones legales acerca de la Transparencia, y esto ha sido así por los resultados en cuanto a la puntuación y certificaciones concedidas por prestigiosas organizaciones como veremos </w:t>
      </w:r>
      <w:r>
        <w:rPr>
          <w:rFonts w:ascii="Arial" w:eastAsia="ArialMT" w:hAnsi="Arial" w:cs="Arial"/>
        </w:rPr>
        <w:t xml:space="preserve">posteriormente. </w:t>
      </w:r>
    </w:p>
    <w:p w:rsidR="00751D59" w:rsidRPr="00C4548F" w:rsidRDefault="009F2304" w:rsidP="00CD1EC8">
      <w:pPr>
        <w:pStyle w:val="western"/>
        <w:spacing w:before="0" w:beforeAutospacing="0" w:after="0" w:line="360" w:lineRule="auto"/>
        <w:ind w:left="-142" w:right="-568" w:firstLine="709"/>
        <w:jc w:val="both"/>
        <w:rPr>
          <w:rFonts w:ascii="Arial" w:eastAsia="ArialMT" w:hAnsi="Arial" w:cs="Arial"/>
        </w:rPr>
      </w:pPr>
      <w:r>
        <w:rPr>
          <w:rFonts w:ascii="Arial" w:eastAsia="ArialMT" w:hAnsi="Arial" w:cs="Arial"/>
        </w:rPr>
        <w:t xml:space="preserve">Por otra parte, desde la Oficina de Transparencia se realiza una constante </w:t>
      </w:r>
      <w:r w:rsidR="00751D59">
        <w:rPr>
          <w:rFonts w:ascii="Arial" w:eastAsia="ArialMT" w:hAnsi="Arial" w:cs="Arial"/>
        </w:rPr>
        <w:t>revisión del cumplimiento de las normas vigentes en materia de transparencia</w:t>
      </w:r>
      <w:r>
        <w:rPr>
          <w:rFonts w:ascii="Arial" w:eastAsia="ArialMT" w:hAnsi="Arial" w:cs="Arial"/>
        </w:rPr>
        <w:t>.</w:t>
      </w:r>
      <w:r w:rsidR="00751D59">
        <w:rPr>
          <w:rFonts w:ascii="Arial" w:eastAsia="ArialMT" w:hAnsi="Arial" w:cs="Arial"/>
        </w:rPr>
        <w:t xml:space="preserve"> </w:t>
      </w:r>
      <w:r>
        <w:rPr>
          <w:rFonts w:ascii="Arial" w:eastAsia="ArialMT" w:hAnsi="Arial" w:cs="Arial"/>
        </w:rPr>
        <w:t xml:space="preserve">Fruto de ello son los resultados obtenidos en el objetivo 12, ya que los parámetros analizados por los diferentes organismos y Universidades van cambiando año a año en función de las nuevas obligaciones de transparencia. </w:t>
      </w:r>
      <w:r w:rsidR="00751D59">
        <w:rPr>
          <w:rFonts w:ascii="Arial" w:eastAsia="ArialMT" w:hAnsi="Arial" w:cs="Arial"/>
        </w:rPr>
        <w:t xml:space="preserve"> </w:t>
      </w:r>
    </w:p>
    <w:p w:rsidR="00CD1EC8" w:rsidRPr="00C4548F" w:rsidRDefault="00CD1EC8" w:rsidP="00CD1EC8">
      <w:pPr>
        <w:suppressAutoHyphens/>
        <w:spacing w:after="0" w:line="240" w:lineRule="auto"/>
        <w:jc w:val="both"/>
        <w:rPr>
          <w:rFonts w:ascii="Arial" w:eastAsia="Calibri" w:hAnsi="Arial" w:cs="Arial"/>
          <w:b/>
          <w:sz w:val="24"/>
          <w:szCs w:val="24"/>
        </w:rPr>
      </w:pPr>
    </w:p>
    <w:p w:rsidR="00CD1EC8" w:rsidRPr="009F2304" w:rsidRDefault="00CD1EC8" w:rsidP="009F2304">
      <w:pPr>
        <w:pStyle w:val="Prrafodelista"/>
        <w:numPr>
          <w:ilvl w:val="0"/>
          <w:numId w:val="4"/>
        </w:numPr>
        <w:suppressAutoHyphens/>
        <w:spacing w:after="0" w:line="240" w:lineRule="auto"/>
        <w:jc w:val="both"/>
        <w:rPr>
          <w:rFonts w:ascii="Arial" w:eastAsia="ArialMT" w:hAnsi="Arial" w:cs="Arial"/>
          <w:sz w:val="24"/>
          <w:szCs w:val="24"/>
        </w:rPr>
      </w:pPr>
      <w:r w:rsidRPr="009F2304">
        <w:rPr>
          <w:rFonts w:ascii="Arial" w:eastAsia="ArialMT" w:hAnsi="Arial" w:cs="Arial"/>
          <w:sz w:val="24"/>
          <w:szCs w:val="24"/>
        </w:rPr>
        <w:t xml:space="preserve">- </w:t>
      </w:r>
      <w:r w:rsidRPr="009F2304">
        <w:rPr>
          <w:rFonts w:ascii="Arial" w:eastAsia="ArialMT" w:hAnsi="Arial" w:cs="Arial"/>
          <w:b/>
          <w:sz w:val="24"/>
          <w:szCs w:val="24"/>
        </w:rPr>
        <w:t>Fomento de la transparencia mediante la creación de comisiones de investigación en la gestión de entidades y contratos públicos</w:t>
      </w:r>
      <w:r w:rsidRPr="009F2304">
        <w:rPr>
          <w:rFonts w:ascii="Arial" w:eastAsia="ArialMT" w:hAnsi="Arial" w:cs="Arial"/>
          <w:sz w:val="24"/>
          <w:szCs w:val="24"/>
        </w:rPr>
        <w:t>.</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Default="00CD1EC8" w:rsidP="00CD1EC8">
      <w:pPr>
        <w:suppressAutoHyphens/>
        <w:spacing w:after="0" w:line="240" w:lineRule="auto"/>
        <w:jc w:val="both"/>
        <w:rPr>
          <w:rFonts w:ascii="Arial" w:eastAsia="ArialMT" w:hAnsi="Arial" w:cs="Arial"/>
          <w:sz w:val="24"/>
          <w:szCs w:val="24"/>
        </w:rPr>
      </w:pPr>
      <w:r>
        <w:rPr>
          <w:rFonts w:ascii="Arial" w:eastAsia="ArialMT" w:hAnsi="Arial" w:cs="Arial"/>
          <w:sz w:val="24"/>
          <w:szCs w:val="24"/>
        </w:rPr>
        <w:tab/>
        <w:t xml:space="preserve">A lo largo de los cuatro ejercicios se han creado diversas comisiones de investigación para el control de entidades y contratos públicos, como por ejemplo la de la sociedad Casco Antiguo o la </w:t>
      </w:r>
      <w:r w:rsidRPr="001A0BA4">
        <w:rPr>
          <w:rFonts w:ascii="Arial" w:eastAsia="ArialMT" w:hAnsi="Arial" w:cs="Arial"/>
          <w:sz w:val="24"/>
          <w:szCs w:val="24"/>
        </w:rPr>
        <w:t>comisión de investigación del contrato del agua</w:t>
      </w:r>
      <w:r>
        <w:rPr>
          <w:rFonts w:ascii="Arial" w:eastAsia="ArialMT" w:hAnsi="Arial" w:cs="Arial"/>
          <w:sz w:val="24"/>
          <w:szCs w:val="24"/>
        </w:rPr>
        <w:t>.</w:t>
      </w:r>
    </w:p>
    <w:p w:rsidR="009F2304" w:rsidRDefault="009F2304" w:rsidP="00CD1EC8">
      <w:pPr>
        <w:suppressAutoHyphens/>
        <w:spacing w:after="0" w:line="240" w:lineRule="auto"/>
        <w:jc w:val="both"/>
        <w:rPr>
          <w:rFonts w:ascii="Arial" w:eastAsia="ArialMT" w:hAnsi="Arial" w:cs="Arial"/>
          <w:sz w:val="24"/>
          <w:szCs w:val="24"/>
        </w:rPr>
      </w:pPr>
    </w:p>
    <w:p w:rsidR="00CD1EC8" w:rsidRDefault="00CD1EC8" w:rsidP="00CD1EC8">
      <w:pPr>
        <w:suppressAutoHyphens/>
        <w:spacing w:after="0" w:line="240" w:lineRule="auto"/>
        <w:ind w:firstLine="708"/>
        <w:jc w:val="both"/>
        <w:rPr>
          <w:rFonts w:ascii="Arial" w:eastAsia="ArialMT" w:hAnsi="Arial" w:cs="Arial"/>
          <w:sz w:val="24"/>
          <w:szCs w:val="24"/>
        </w:rPr>
      </w:pPr>
      <w:r>
        <w:rPr>
          <w:rFonts w:ascii="Arial" w:eastAsia="ArialMT" w:hAnsi="Arial" w:cs="Arial"/>
          <w:sz w:val="24"/>
          <w:szCs w:val="24"/>
        </w:rPr>
        <w:lastRenderedPageBreak/>
        <w:t>A este respecto cada servicio deberá de rendir cuentas de las actuaciones realizadas por cada comisión del que dependan.</w:t>
      </w:r>
    </w:p>
    <w:p w:rsidR="00CD1EC8"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Calibri" w:hAnsi="Arial" w:cs="Arial"/>
          <w:sz w:val="24"/>
          <w:szCs w:val="24"/>
        </w:rPr>
      </w:pPr>
    </w:p>
    <w:p w:rsidR="00CD1EC8" w:rsidRPr="009F2304" w:rsidRDefault="00CD1EC8" w:rsidP="009F2304">
      <w:pPr>
        <w:pStyle w:val="Prrafodelista"/>
        <w:numPr>
          <w:ilvl w:val="0"/>
          <w:numId w:val="4"/>
        </w:numPr>
        <w:suppressAutoHyphens/>
        <w:spacing w:after="0" w:line="240" w:lineRule="auto"/>
        <w:jc w:val="both"/>
        <w:rPr>
          <w:rFonts w:ascii="Arial" w:eastAsia="ArialMT" w:hAnsi="Arial" w:cs="Arial"/>
          <w:sz w:val="24"/>
          <w:szCs w:val="24"/>
        </w:rPr>
      </w:pPr>
      <w:r w:rsidRPr="009F2304">
        <w:rPr>
          <w:rFonts w:ascii="Arial" w:eastAsia="ArialMT" w:hAnsi="Arial" w:cs="Arial"/>
          <w:sz w:val="24"/>
          <w:szCs w:val="24"/>
        </w:rPr>
        <w:t xml:space="preserve">- </w:t>
      </w:r>
      <w:r w:rsidRPr="009F2304">
        <w:rPr>
          <w:rFonts w:ascii="Arial" w:eastAsia="ArialMT" w:hAnsi="Arial" w:cs="Arial"/>
          <w:b/>
          <w:sz w:val="24"/>
          <w:szCs w:val="24"/>
        </w:rPr>
        <w:t>Cumplimiento con los máximos parámetros establecidos por los organismos competentes en materia de transparencia</w:t>
      </w:r>
      <w:r w:rsidRPr="009F2304">
        <w:rPr>
          <w:rFonts w:ascii="Arial" w:eastAsia="ArialMT" w:hAnsi="Arial" w:cs="Arial"/>
          <w:sz w:val="24"/>
          <w:szCs w:val="24"/>
        </w:rPr>
        <w:t>.</w:t>
      </w: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pStyle w:val="western"/>
        <w:spacing w:before="0" w:beforeAutospacing="0" w:after="0" w:line="360" w:lineRule="auto"/>
        <w:ind w:left="-142" w:right="-568" w:firstLine="709"/>
        <w:jc w:val="both"/>
        <w:rPr>
          <w:rFonts w:ascii="Arial" w:eastAsia="ArialMT" w:hAnsi="Arial" w:cs="Arial"/>
        </w:rPr>
      </w:pPr>
      <w:r w:rsidRPr="00C4548F">
        <w:rPr>
          <w:rFonts w:ascii="Arial" w:eastAsia="ArialMT" w:hAnsi="Arial" w:cs="Arial"/>
        </w:rPr>
        <w:t xml:space="preserve">El Servicio de Transparencia del Ayuntamiento de Cartagena se encuentra muy orgulloso de los resultados en cuanto a la puntuación y certificaciones concedidas por prestigiosas organizaciones como es </w:t>
      </w:r>
      <w:proofErr w:type="spellStart"/>
      <w:r w:rsidRPr="00C4548F">
        <w:rPr>
          <w:rFonts w:ascii="Arial" w:eastAsia="ArialMT" w:hAnsi="Arial" w:cs="Arial"/>
        </w:rPr>
        <w:t>Transparency</w:t>
      </w:r>
      <w:proofErr w:type="spellEnd"/>
      <w:r w:rsidRPr="00C4548F">
        <w:rPr>
          <w:rFonts w:ascii="Arial" w:eastAsia="ArialMT" w:hAnsi="Arial" w:cs="Arial"/>
        </w:rPr>
        <w:t xml:space="preserve"> International (TI) o la Universidad Autónoma de Barcelona que nos ha concedido el sello </w:t>
      </w:r>
      <w:proofErr w:type="spellStart"/>
      <w:r w:rsidRPr="00C4548F">
        <w:rPr>
          <w:rFonts w:ascii="Arial" w:eastAsia="ArialMT" w:hAnsi="Arial" w:cs="Arial"/>
        </w:rPr>
        <w:t>Infoparticipa</w:t>
      </w:r>
      <w:proofErr w:type="spellEnd"/>
      <w:r w:rsidRPr="00C4548F">
        <w:rPr>
          <w:rFonts w:ascii="Arial" w:eastAsia="ArialMT" w:hAnsi="Arial" w:cs="Arial"/>
        </w:rPr>
        <w:t xml:space="preserve"> en los ejercicios 2016 y 2017.</w:t>
      </w:r>
    </w:p>
    <w:p w:rsidR="00CD1EC8" w:rsidRPr="00C4548F" w:rsidRDefault="00CD1EC8" w:rsidP="00CD1EC8">
      <w:pPr>
        <w:spacing w:after="0" w:line="360" w:lineRule="auto"/>
        <w:ind w:left="-142" w:right="-568" w:firstLine="709"/>
        <w:jc w:val="both"/>
        <w:rPr>
          <w:rFonts w:ascii="Arial" w:eastAsia="Times New Roman" w:hAnsi="Arial" w:cs="Arial"/>
          <w:color w:val="000000"/>
          <w:sz w:val="24"/>
          <w:szCs w:val="24"/>
          <w:lang w:val="es-ES" w:eastAsia="es-ES"/>
        </w:rPr>
      </w:pPr>
    </w:p>
    <w:tbl>
      <w:tblPr>
        <w:tblW w:w="8400" w:type="dxa"/>
        <w:tblInd w:w="637"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CD1EC8" w:rsidRPr="00C4548F" w:rsidTr="001D4B03">
        <w:trPr>
          <w:trHeight w:val="300"/>
        </w:trPr>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3600" w:type="dxa"/>
            <w:gridSpan w:val="3"/>
            <w:tcBorders>
              <w:top w:val="nil"/>
              <w:left w:val="nil"/>
              <w:bottom w:val="nil"/>
              <w:right w:val="nil"/>
            </w:tcBorders>
            <w:shd w:val="clear" w:color="000000" w:fill="DCE6F1"/>
            <w:noWrap/>
            <w:vAlign w:val="bottom"/>
            <w:hideMark/>
          </w:tcPr>
          <w:p w:rsidR="00CD1EC8" w:rsidRPr="000F25A2" w:rsidRDefault="00CD1EC8" w:rsidP="001D4B03">
            <w:pPr>
              <w:spacing w:after="0" w:line="240" w:lineRule="auto"/>
              <w:rPr>
                <w:rFonts w:ascii="Arial" w:eastAsia="Times New Roman" w:hAnsi="Arial" w:cs="Arial"/>
                <w:b/>
                <w:bCs/>
                <w:color w:val="000000"/>
                <w:sz w:val="16"/>
                <w:szCs w:val="16"/>
              </w:rPr>
            </w:pPr>
            <w:proofErr w:type="spellStart"/>
            <w:r w:rsidRPr="000F25A2">
              <w:rPr>
                <w:rFonts w:ascii="Arial" w:eastAsia="Times New Roman" w:hAnsi="Arial" w:cs="Arial"/>
                <w:b/>
                <w:bCs/>
                <w:color w:val="000000"/>
                <w:sz w:val="16"/>
                <w:szCs w:val="16"/>
              </w:rPr>
              <w:t>Transparenci</w:t>
            </w:r>
            <w:proofErr w:type="spellEnd"/>
            <w:r w:rsidRPr="000F25A2">
              <w:rPr>
                <w:rFonts w:ascii="Arial" w:eastAsia="Times New Roman" w:hAnsi="Arial" w:cs="Arial"/>
                <w:b/>
                <w:bCs/>
                <w:color w:val="000000"/>
                <w:sz w:val="16"/>
                <w:szCs w:val="16"/>
              </w:rPr>
              <w:t xml:space="preserve"> International España</w:t>
            </w:r>
          </w:p>
        </w:tc>
        <w:tc>
          <w:tcPr>
            <w:tcW w:w="1200" w:type="dxa"/>
            <w:tcBorders>
              <w:top w:val="nil"/>
              <w:left w:val="nil"/>
              <w:bottom w:val="nil"/>
              <w:right w:val="nil"/>
            </w:tcBorders>
            <w:shd w:val="clear" w:color="000000" w:fill="DCE6F1"/>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 </w:t>
            </w:r>
          </w:p>
        </w:tc>
        <w:tc>
          <w:tcPr>
            <w:tcW w:w="1200" w:type="dxa"/>
            <w:tcBorders>
              <w:top w:val="nil"/>
              <w:left w:val="nil"/>
              <w:bottom w:val="nil"/>
              <w:right w:val="nil"/>
            </w:tcBorders>
            <w:shd w:val="clear" w:color="000000" w:fill="DCE6F1"/>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 </w:t>
            </w:r>
          </w:p>
        </w:tc>
        <w:tc>
          <w:tcPr>
            <w:tcW w:w="1200" w:type="dxa"/>
            <w:tcBorders>
              <w:top w:val="nil"/>
              <w:left w:val="nil"/>
              <w:bottom w:val="nil"/>
              <w:right w:val="nil"/>
            </w:tcBorders>
            <w:shd w:val="clear" w:color="000000" w:fill="DCE6F1"/>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 </w:t>
            </w:r>
          </w:p>
        </w:tc>
      </w:tr>
      <w:tr w:rsidR="00CD1EC8" w:rsidRPr="00C4548F" w:rsidTr="001D4B03">
        <w:trPr>
          <w:trHeight w:val="300"/>
        </w:trPr>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Años</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2008</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2009</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2010</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2012</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2014</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2017</w:t>
            </w:r>
          </w:p>
        </w:tc>
      </w:tr>
      <w:tr w:rsidR="00CD1EC8" w:rsidRPr="00C4548F" w:rsidTr="001D4B03">
        <w:trPr>
          <w:trHeight w:val="300"/>
        </w:trPr>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Puntuación</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81,9</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90</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85</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52,5</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86,3</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96,3</w:t>
            </w:r>
          </w:p>
        </w:tc>
      </w:tr>
      <w:tr w:rsidR="00CD1EC8" w:rsidRPr="00C4548F" w:rsidTr="001D4B03">
        <w:trPr>
          <w:trHeight w:val="300"/>
        </w:trPr>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r>
      <w:tr w:rsidR="00CD1EC8" w:rsidRPr="00C4548F" w:rsidTr="001D4B03">
        <w:trPr>
          <w:trHeight w:val="300"/>
        </w:trPr>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6000" w:type="dxa"/>
            <w:gridSpan w:val="5"/>
            <w:tcBorders>
              <w:top w:val="nil"/>
              <w:left w:val="nil"/>
              <w:bottom w:val="nil"/>
              <w:right w:val="nil"/>
            </w:tcBorders>
            <w:shd w:val="clear" w:color="000000" w:fill="DCE6F1"/>
            <w:noWrap/>
            <w:vAlign w:val="bottom"/>
            <w:hideMark/>
          </w:tcPr>
          <w:p w:rsidR="00CD1EC8" w:rsidRPr="000F25A2" w:rsidRDefault="00CD1EC8" w:rsidP="001D4B03">
            <w:pPr>
              <w:spacing w:after="0" w:line="240" w:lineRule="auto"/>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 xml:space="preserve">Mapa </w:t>
            </w:r>
            <w:proofErr w:type="spellStart"/>
            <w:r w:rsidRPr="000F25A2">
              <w:rPr>
                <w:rFonts w:ascii="Arial" w:eastAsia="Times New Roman" w:hAnsi="Arial" w:cs="Arial"/>
                <w:b/>
                <w:bCs/>
                <w:color w:val="000000"/>
                <w:sz w:val="16"/>
                <w:szCs w:val="16"/>
              </w:rPr>
              <w:t>Infoparticipa</w:t>
            </w:r>
            <w:proofErr w:type="spellEnd"/>
            <w:r w:rsidRPr="000F25A2">
              <w:rPr>
                <w:rFonts w:ascii="Arial" w:eastAsia="Times New Roman" w:hAnsi="Arial" w:cs="Arial"/>
                <w:b/>
                <w:bCs/>
                <w:color w:val="000000"/>
                <w:sz w:val="16"/>
                <w:szCs w:val="16"/>
              </w:rPr>
              <w:t xml:space="preserve"> (Universidad Autónoma de Barcelona)</w:t>
            </w:r>
          </w:p>
        </w:tc>
        <w:tc>
          <w:tcPr>
            <w:tcW w:w="1200" w:type="dxa"/>
            <w:tcBorders>
              <w:top w:val="nil"/>
              <w:left w:val="nil"/>
              <w:bottom w:val="nil"/>
              <w:right w:val="nil"/>
            </w:tcBorders>
            <w:shd w:val="clear" w:color="000000" w:fill="DCE6F1"/>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 </w:t>
            </w:r>
          </w:p>
        </w:tc>
      </w:tr>
      <w:tr w:rsidR="00CD1EC8" w:rsidRPr="00C4548F" w:rsidTr="001D4B03">
        <w:trPr>
          <w:trHeight w:val="300"/>
        </w:trPr>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Años</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2015</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2016</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b/>
                <w:bCs/>
                <w:color w:val="000000"/>
                <w:sz w:val="16"/>
                <w:szCs w:val="16"/>
              </w:rPr>
            </w:pPr>
            <w:r w:rsidRPr="000F25A2">
              <w:rPr>
                <w:rFonts w:ascii="Arial" w:eastAsia="Times New Roman" w:hAnsi="Arial" w:cs="Arial"/>
                <w:b/>
                <w:bCs/>
                <w:color w:val="000000"/>
                <w:sz w:val="16"/>
                <w:szCs w:val="16"/>
              </w:rPr>
              <w:t>2017</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b/>
                <w:bCs/>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r>
      <w:tr w:rsidR="00CD1EC8" w:rsidRPr="00C4548F" w:rsidTr="001D4B03">
        <w:trPr>
          <w:trHeight w:val="300"/>
        </w:trPr>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r w:rsidRPr="000F25A2">
              <w:rPr>
                <w:rFonts w:ascii="Arial" w:eastAsia="Times New Roman" w:hAnsi="Arial" w:cs="Arial"/>
                <w:color w:val="000000"/>
                <w:sz w:val="16"/>
                <w:szCs w:val="16"/>
              </w:rPr>
              <w:t>Puntuación</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73,1</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100</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jc w:val="right"/>
              <w:rPr>
                <w:rFonts w:ascii="Arial" w:eastAsia="Times New Roman" w:hAnsi="Arial" w:cs="Arial"/>
                <w:color w:val="000000"/>
                <w:sz w:val="16"/>
                <w:szCs w:val="16"/>
              </w:rPr>
            </w:pPr>
            <w:r w:rsidRPr="000F25A2">
              <w:rPr>
                <w:rFonts w:ascii="Arial" w:eastAsia="Times New Roman" w:hAnsi="Arial" w:cs="Arial"/>
                <w:color w:val="000000"/>
                <w:sz w:val="16"/>
                <w:szCs w:val="16"/>
              </w:rPr>
              <w:t>100</w:t>
            </w: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CD1EC8" w:rsidRPr="000F25A2" w:rsidRDefault="00CD1EC8" w:rsidP="001D4B03">
            <w:pPr>
              <w:spacing w:after="0" w:line="240" w:lineRule="auto"/>
              <w:rPr>
                <w:rFonts w:ascii="Arial" w:eastAsia="Times New Roman" w:hAnsi="Arial" w:cs="Arial"/>
                <w:color w:val="000000"/>
                <w:sz w:val="16"/>
                <w:szCs w:val="16"/>
              </w:rPr>
            </w:pPr>
          </w:p>
        </w:tc>
      </w:tr>
    </w:tbl>
    <w:p w:rsidR="00CD1EC8" w:rsidRPr="00C4548F"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ArialMT" w:hAnsi="Arial" w:cs="Arial"/>
          <w:sz w:val="24"/>
          <w:szCs w:val="24"/>
        </w:rPr>
      </w:pPr>
    </w:p>
    <w:p w:rsidR="00CD1EC8" w:rsidRDefault="00CD1EC8" w:rsidP="00CD1EC8">
      <w:pPr>
        <w:suppressAutoHyphens/>
        <w:spacing w:after="0" w:line="240" w:lineRule="auto"/>
        <w:ind w:firstLine="708"/>
        <w:jc w:val="both"/>
        <w:rPr>
          <w:rFonts w:ascii="Arial" w:eastAsia="ArialMT" w:hAnsi="Arial" w:cs="Arial"/>
          <w:sz w:val="24"/>
          <w:szCs w:val="24"/>
        </w:rPr>
      </w:pPr>
      <w:r w:rsidRPr="00C4548F">
        <w:rPr>
          <w:rFonts w:ascii="Arial" w:eastAsia="ArialMT" w:hAnsi="Arial" w:cs="Arial"/>
          <w:sz w:val="24"/>
          <w:szCs w:val="24"/>
        </w:rPr>
        <w:t>Asimismo, desde la Cátedra de Responsabilidad Social Corporativa de la Universidad de Murcia, en un estudio realizado en 2018 sobre el nivel de Responsabilidad Social Corporativa de los Ayuntamientos de la Región, ha concedido la máxima puntuación al Ayuntamiento de Cartagena con un total de 8,4 puntos.</w:t>
      </w:r>
    </w:p>
    <w:p w:rsidR="00A25E21" w:rsidRDefault="00A25E21" w:rsidP="00CD1EC8">
      <w:pPr>
        <w:suppressAutoHyphens/>
        <w:spacing w:after="0" w:line="240" w:lineRule="auto"/>
        <w:ind w:firstLine="708"/>
        <w:jc w:val="both"/>
        <w:rPr>
          <w:rFonts w:ascii="Arial" w:eastAsia="ArialMT" w:hAnsi="Arial" w:cs="Arial"/>
          <w:sz w:val="24"/>
          <w:szCs w:val="24"/>
        </w:rPr>
      </w:pPr>
    </w:p>
    <w:p w:rsidR="00A25E21" w:rsidRPr="00C4548F" w:rsidRDefault="00A25E21" w:rsidP="00CD1EC8">
      <w:pPr>
        <w:suppressAutoHyphens/>
        <w:spacing w:after="0" w:line="240" w:lineRule="auto"/>
        <w:ind w:firstLine="708"/>
        <w:jc w:val="both"/>
        <w:rPr>
          <w:rFonts w:ascii="Arial" w:eastAsia="ArialMT" w:hAnsi="Arial" w:cs="Arial"/>
          <w:sz w:val="24"/>
          <w:szCs w:val="24"/>
        </w:rPr>
      </w:pPr>
      <w:r>
        <w:rPr>
          <w:rFonts w:ascii="Arial" w:eastAsia="ArialMT" w:hAnsi="Arial" w:cs="Arial"/>
          <w:sz w:val="24"/>
          <w:szCs w:val="24"/>
        </w:rPr>
        <w:t xml:space="preserve">Por otra parte de la Red de Entidades Locales por la Transparencia y la Participación ciudadana se ha señalado al Ayuntamiento de Cartagena dentro del apartado de Buenas Prácticas por la </w:t>
      </w:r>
      <w:r w:rsidRPr="00A25E21">
        <w:rPr>
          <w:rFonts w:ascii="Arial" w:eastAsia="ArialMT" w:hAnsi="Arial" w:cs="Arial"/>
          <w:sz w:val="24"/>
          <w:szCs w:val="24"/>
        </w:rPr>
        <w:t>GUÍA DE TRANSPARENCIA PARA SECUNDARIA</w:t>
      </w:r>
      <w:r>
        <w:rPr>
          <w:rFonts w:ascii="Arial" w:eastAsia="ArialMT" w:hAnsi="Arial" w:cs="Arial"/>
          <w:sz w:val="24"/>
          <w:szCs w:val="24"/>
        </w:rPr>
        <w:t xml:space="preserve"> .</w:t>
      </w:r>
    </w:p>
    <w:p w:rsidR="00CD1EC8" w:rsidRPr="00C4548F" w:rsidRDefault="00CD1EC8" w:rsidP="00CD1EC8">
      <w:pPr>
        <w:suppressAutoHyphens/>
        <w:spacing w:after="0" w:line="240" w:lineRule="auto"/>
        <w:jc w:val="both"/>
        <w:rPr>
          <w:rFonts w:ascii="Arial" w:eastAsia="ArialMT" w:hAnsi="Arial" w:cs="Arial"/>
          <w:sz w:val="24"/>
          <w:szCs w:val="24"/>
        </w:rPr>
      </w:pPr>
      <w:r w:rsidRPr="00C4548F">
        <w:rPr>
          <w:rFonts w:ascii="Arial" w:eastAsia="ArialMT" w:hAnsi="Arial" w:cs="Arial"/>
          <w:sz w:val="24"/>
          <w:szCs w:val="24"/>
        </w:rPr>
        <w:tab/>
        <w:t xml:space="preserve"> </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Dotación de recursos para puesta en marcha: 100%</w:t>
      </w:r>
    </w:p>
    <w:p w:rsidR="00CD1EC8" w:rsidRPr="00C4548F" w:rsidRDefault="00CD1EC8" w:rsidP="00CD1EC8">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100%</w:t>
      </w:r>
    </w:p>
    <w:p w:rsidR="00CD1EC8" w:rsidRDefault="00CD1EC8" w:rsidP="00CD1EC8">
      <w:pPr>
        <w:suppressAutoHyphens/>
        <w:spacing w:after="0" w:line="240" w:lineRule="auto"/>
        <w:jc w:val="both"/>
        <w:rPr>
          <w:rFonts w:ascii="Arial" w:eastAsia="Calibri" w:hAnsi="Arial" w:cs="Arial"/>
          <w:sz w:val="24"/>
          <w:szCs w:val="24"/>
        </w:rPr>
      </w:pPr>
    </w:p>
    <w:p w:rsidR="00A25E21" w:rsidRPr="00C4548F" w:rsidRDefault="00A25E21" w:rsidP="00CD1EC8">
      <w:pPr>
        <w:suppressAutoHyphens/>
        <w:spacing w:after="0" w:line="240" w:lineRule="auto"/>
        <w:jc w:val="both"/>
        <w:rPr>
          <w:rFonts w:ascii="Arial" w:eastAsia="Calibri" w:hAnsi="Arial" w:cs="Arial"/>
          <w:sz w:val="24"/>
          <w:szCs w:val="24"/>
        </w:rPr>
      </w:pPr>
    </w:p>
    <w:p w:rsidR="00CD1EC8" w:rsidRPr="009F2304" w:rsidRDefault="00CD1EC8" w:rsidP="009F2304">
      <w:pPr>
        <w:pStyle w:val="Prrafodelista"/>
        <w:numPr>
          <w:ilvl w:val="0"/>
          <w:numId w:val="4"/>
        </w:numPr>
        <w:suppressAutoHyphens/>
        <w:spacing w:after="0" w:line="240" w:lineRule="auto"/>
        <w:jc w:val="both"/>
        <w:rPr>
          <w:rFonts w:ascii="Arial" w:eastAsia="ArialMT" w:hAnsi="Arial" w:cs="Arial"/>
          <w:b/>
          <w:sz w:val="24"/>
          <w:szCs w:val="24"/>
        </w:rPr>
      </w:pPr>
      <w:r w:rsidRPr="009F2304">
        <w:rPr>
          <w:rFonts w:ascii="Arial" w:eastAsia="ArialMT" w:hAnsi="Arial" w:cs="Arial"/>
          <w:sz w:val="24"/>
          <w:szCs w:val="24"/>
        </w:rPr>
        <w:t xml:space="preserve">- </w:t>
      </w:r>
      <w:r w:rsidRPr="009F2304">
        <w:rPr>
          <w:rFonts w:ascii="Arial" w:eastAsia="ArialMT" w:hAnsi="Arial" w:cs="Arial"/>
          <w:b/>
          <w:sz w:val="24"/>
          <w:szCs w:val="24"/>
        </w:rPr>
        <w:t>Fomento de la participación vecinal en la regularización y puesta al día de ordenanzas municipales.</w:t>
      </w:r>
    </w:p>
    <w:p w:rsidR="00CD1EC8" w:rsidRPr="00C4548F" w:rsidRDefault="00CD1EC8" w:rsidP="00CD1EC8">
      <w:pPr>
        <w:suppressAutoHyphens/>
        <w:spacing w:after="0" w:line="240" w:lineRule="auto"/>
        <w:jc w:val="both"/>
        <w:rPr>
          <w:rFonts w:ascii="Arial" w:eastAsia="ArialMT" w:hAnsi="Arial" w:cs="Arial"/>
          <w:b/>
          <w:sz w:val="24"/>
          <w:szCs w:val="24"/>
        </w:rPr>
      </w:pPr>
    </w:p>
    <w:p w:rsidR="00CD1EC8" w:rsidRDefault="00CD1EC8" w:rsidP="00CD1EC8">
      <w:pPr>
        <w:suppressAutoHyphens/>
        <w:spacing w:after="0" w:line="240" w:lineRule="auto"/>
        <w:ind w:firstLine="708"/>
        <w:jc w:val="both"/>
        <w:rPr>
          <w:rFonts w:ascii="Arial" w:eastAsia="ArialMT" w:hAnsi="Arial" w:cs="Arial"/>
          <w:sz w:val="24"/>
          <w:szCs w:val="24"/>
        </w:rPr>
      </w:pPr>
      <w:r>
        <w:rPr>
          <w:rFonts w:ascii="Arial" w:eastAsia="ArialMT" w:hAnsi="Arial" w:cs="Arial"/>
          <w:sz w:val="24"/>
          <w:szCs w:val="24"/>
        </w:rPr>
        <w:t xml:space="preserve">A lo largo de los cuatro ejercicios se han modificado diversas ordenanzas municipales, y durante su tramitación se han mantenido reuniones </w:t>
      </w:r>
      <w:r>
        <w:rPr>
          <w:rFonts w:ascii="Arial" w:eastAsia="ArialMT" w:hAnsi="Arial" w:cs="Arial"/>
          <w:sz w:val="24"/>
          <w:szCs w:val="24"/>
        </w:rPr>
        <w:lastRenderedPageBreak/>
        <w:t xml:space="preserve">con los sectores a los que les afecta, ejemplo </w:t>
      </w:r>
      <w:r w:rsidR="009F2304">
        <w:rPr>
          <w:rFonts w:ascii="Arial" w:eastAsia="ArialMT" w:hAnsi="Arial" w:cs="Arial"/>
          <w:sz w:val="24"/>
          <w:szCs w:val="24"/>
        </w:rPr>
        <w:t xml:space="preserve">de ello han sido la modificación de </w:t>
      </w:r>
      <w:r>
        <w:rPr>
          <w:rFonts w:ascii="Arial" w:eastAsia="ArialMT" w:hAnsi="Arial" w:cs="Arial"/>
          <w:sz w:val="24"/>
          <w:szCs w:val="24"/>
        </w:rPr>
        <w:t xml:space="preserve">la ordenanza de </w:t>
      </w:r>
      <w:r w:rsidRPr="001A0BA4">
        <w:rPr>
          <w:rFonts w:ascii="Arial" w:eastAsia="ArialMT" w:hAnsi="Arial" w:cs="Arial"/>
          <w:sz w:val="24"/>
          <w:szCs w:val="24"/>
        </w:rPr>
        <w:t>venta ambulante o no sedentaria en</w:t>
      </w:r>
      <w:r>
        <w:rPr>
          <w:rFonts w:ascii="Arial" w:eastAsia="ArialMT" w:hAnsi="Arial" w:cs="Arial"/>
          <w:sz w:val="24"/>
          <w:szCs w:val="24"/>
        </w:rPr>
        <w:t xml:space="preserve"> </w:t>
      </w:r>
      <w:r w:rsidRPr="001A0BA4">
        <w:rPr>
          <w:rFonts w:ascii="Arial" w:eastAsia="ArialMT" w:hAnsi="Arial" w:cs="Arial"/>
          <w:sz w:val="24"/>
          <w:szCs w:val="24"/>
        </w:rPr>
        <w:t>el término Municipal de Cartagena</w:t>
      </w:r>
      <w:r>
        <w:rPr>
          <w:rFonts w:ascii="Arial" w:eastAsia="ArialMT" w:hAnsi="Arial" w:cs="Arial"/>
          <w:sz w:val="24"/>
          <w:szCs w:val="24"/>
        </w:rPr>
        <w:t>, o el Reglamento General del Taxi.</w:t>
      </w:r>
    </w:p>
    <w:p w:rsidR="00CD1EC8" w:rsidRDefault="00CD1EC8" w:rsidP="00CD1EC8">
      <w:pPr>
        <w:suppressAutoHyphens/>
        <w:spacing w:after="0" w:line="240" w:lineRule="auto"/>
        <w:ind w:firstLine="708"/>
        <w:jc w:val="both"/>
        <w:rPr>
          <w:rFonts w:ascii="Arial" w:eastAsia="ArialMT" w:hAnsi="Arial" w:cs="Arial"/>
          <w:sz w:val="24"/>
          <w:szCs w:val="24"/>
        </w:rPr>
      </w:pPr>
    </w:p>
    <w:p w:rsidR="00F942A1" w:rsidRPr="00F942A1" w:rsidRDefault="00F942A1" w:rsidP="00F942A1">
      <w:pPr>
        <w:suppressAutoHyphens/>
        <w:spacing w:after="0" w:line="240" w:lineRule="auto"/>
        <w:ind w:firstLine="708"/>
        <w:jc w:val="both"/>
        <w:rPr>
          <w:rFonts w:ascii="Arial" w:eastAsia="ArialMT" w:hAnsi="Arial" w:cs="Arial"/>
          <w:sz w:val="24"/>
          <w:szCs w:val="24"/>
        </w:rPr>
      </w:pPr>
      <w:r>
        <w:rPr>
          <w:rFonts w:ascii="Arial" w:eastAsia="ArialMT" w:hAnsi="Arial" w:cs="Arial"/>
          <w:sz w:val="24"/>
          <w:szCs w:val="24"/>
        </w:rPr>
        <w:t xml:space="preserve">OTROS </w:t>
      </w:r>
      <w:r w:rsidRPr="00F942A1">
        <w:rPr>
          <w:rFonts w:ascii="Arial" w:eastAsia="ArialMT" w:hAnsi="Arial" w:cs="Arial"/>
          <w:sz w:val="24"/>
          <w:szCs w:val="24"/>
        </w:rPr>
        <w:t xml:space="preserve">PROCESOS PARTICIPATIVOS EN LA ELABORACIÓN DE ORDENANZAS MUNICIPALES y OTRAS NORMAS MUNICIPALES: </w:t>
      </w:r>
    </w:p>
    <w:p w:rsidR="00F942A1" w:rsidRDefault="00F942A1" w:rsidP="00F942A1">
      <w:pPr>
        <w:suppressAutoHyphens/>
        <w:spacing w:after="0" w:line="240" w:lineRule="auto"/>
        <w:ind w:firstLine="708"/>
        <w:jc w:val="both"/>
        <w:rPr>
          <w:rFonts w:ascii="Arial" w:eastAsia="ArialMT" w:hAnsi="Arial" w:cs="Arial"/>
          <w:sz w:val="24"/>
          <w:szCs w:val="24"/>
        </w:rPr>
      </w:pPr>
      <w:r w:rsidRPr="00F942A1">
        <w:rPr>
          <w:rFonts w:ascii="Arial" w:eastAsia="ArialMT" w:hAnsi="Arial" w:cs="Arial"/>
          <w:sz w:val="24"/>
          <w:szCs w:val="24"/>
        </w:rPr>
        <w:t>Ordenanza de ruidos:</w:t>
      </w:r>
    </w:p>
    <w:p w:rsidR="00F942A1" w:rsidRDefault="00081EF5" w:rsidP="00F942A1">
      <w:pPr>
        <w:suppressAutoHyphens/>
        <w:spacing w:after="0" w:line="240" w:lineRule="auto"/>
        <w:ind w:firstLine="708"/>
        <w:jc w:val="both"/>
        <w:rPr>
          <w:rFonts w:ascii="Arial" w:eastAsia="ArialMT" w:hAnsi="Arial" w:cs="Arial"/>
          <w:sz w:val="24"/>
          <w:szCs w:val="24"/>
        </w:rPr>
      </w:pPr>
      <w:hyperlink r:id="rId16" w:history="1">
        <w:r w:rsidR="00F942A1" w:rsidRPr="00FD095F">
          <w:rPr>
            <w:rStyle w:val="Hipervnculo"/>
            <w:rFonts w:ascii="Arial" w:eastAsia="ArialMT" w:hAnsi="Arial" w:cs="Arial"/>
            <w:sz w:val="24"/>
            <w:szCs w:val="24"/>
          </w:rPr>
          <w:t>https://www.cartagena.es/detalle_noticias.asp?id=49240</w:t>
        </w:r>
      </w:hyperlink>
    </w:p>
    <w:p w:rsidR="00F942A1" w:rsidRPr="00F942A1" w:rsidRDefault="00F942A1" w:rsidP="00F942A1">
      <w:pPr>
        <w:suppressAutoHyphens/>
        <w:spacing w:after="0" w:line="240" w:lineRule="auto"/>
        <w:ind w:firstLine="708"/>
        <w:jc w:val="both"/>
        <w:rPr>
          <w:rFonts w:ascii="Arial" w:eastAsia="ArialMT" w:hAnsi="Arial" w:cs="Arial"/>
          <w:sz w:val="24"/>
          <w:szCs w:val="24"/>
        </w:rPr>
      </w:pPr>
    </w:p>
    <w:p w:rsidR="00F942A1" w:rsidRDefault="00F942A1" w:rsidP="00F942A1">
      <w:pPr>
        <w:suppressAutoHyphens/>
        <w:spacing w:after="0" w:line="240" w:lineRule="auto"/>
        <w:ind w:firstLine="708"/>
        <w:jc w:val="both"/>
        <w:rPr>
          <w:rFonts w:ascii="Arial" w:eastAsia="ArialMT" w:hAnsi="Arial" w:cs="Arial"/>
          <w:sz w:val="24"/>
          <w:szCs w:val="24"/>
        </w:rPr>
      </w:pPr>
      <w:r w:rsidRPr="00F942A1">
        <w:rPr>
          <w:rFonts w:ascii="Arial" w:eastAsia="ArialMT" w:hAnsi="Arial" w:cs="Arial"/>
          <w:sz w:val="24"/>
          <w:szCs w:val="24"/>
        </w:rPr>
        <w:t>Orden</w:t>
      </w:r>
      <w:r>
        <w:rPr>
          <w:rFonts w:ascii="Arial" w:eastAsia="ArialMT" w:hAnsi="Arial" w:cs="Arial"/>
          <w:sz w:val="24"/>
          <w:szCs w:val="24"/>
        </w:rPr>
        <w:t>an</w:t>
      </w:r>
      <w:r w:rsidRPr="00F942A1">
        <w:rPr>
          <w:rFonts w:ascii="Arial" w:eastAsia="ArialMT" w:hAnsi="Arial" w:cs="Arial"/>
          <w:sz w:val="24"/>
          <w:szCs w:val="24"/>
        </w:rPr>
        <w:t xml:space="preserve">za de solares: </w:t>
      </w:r>
    </w:p>
    <w:p w:rsidR="00F942A1" w:rsidRDefault="00081EF5" w:rsidP="00F942A1">
      <w:pPr>
        <w:suppressAutoHyphens/>
        <w:spacing w:after="0" w:line="240" w:lineRule="auto"/>
        <w:ind w:firstLine="708"/>
        <w:jc w:val="both"/>
        <w:rPr>
          <w:rFonts w:ascii="Arial" w:eastAsia="ArialMT" w:hAnsi="Arial" w:cs="Arial"/>
          <w:sz w:val="24"/>
          <w:szCs w:val="24"/>
        </w:rPr>
      </w:pPr>
      <w:hyperlink r:id="rId17" w:history="1">
        <w:r w:rsidR="00F942A1" w:rsidRPr="00FD095F">
          <w:rPr>
            <w:rStyle w:val="Hipervnculo"/>
            <w:rFonts w:ascii="Arial" w:eastAsia="ArialMT" w:hAnsi="Arial" w:cs="Arial"/>
            <w:sz w:val="24"/>
            <w:szCs w:val="24"/>
          </w:rPr>
          <w:t>https://www.cartagena.es/detalle_tablon.asp?id=52895</w:t>
        </w:r>
      </w:hyperlink>
    </w:p>
    <w:p w:rsidR="00F942A1" w:rsidRPr="00F942A1" w:rsidRDefault="00F942A1" w:rsidP="00F942A1">
      <w:pPr>
        <w:suppressAutoHyphens/>
        <w:spacing w:after="0" w:line="240" w:lineRule="auto"/>
        <w:ind w:firstLine="708"/>
        <w:jc w:val="both"/>
        <w:rPr>
          <w:rFonts w:ascii="Arial" w:eastAsia="ArialMT" w:hAnsi="Arial" w:cs="Arial"/>
          <w:sz w:val="24"/>
          <w:szCs w:val="24"/>
        </w:rPr>
      </w:pPr>
    </w:p>
    <w:p w:rsidR="00F942A1" w:rsidRDefault="00F942A1" w:rsidP="00F942A1">
      <w:pPr>
        <w:suppressAutoHyphens/>
        <w:spacing w:after="0" w:line="240" w:lineRule="auto"/>
        <w:ind w:firstLine="708"/>
        <w:jc w:val="both"/>
        <w:rPr>
          <w:rFonts w:ascii="Arial" w:eastAsia="ArialMT" w:hAnsi="Arial" w:cs="Arial"/>
          <w:sz w:val="24"/>
          <w:szCs w:val="24"/>
        </w:rPr>
      </w:pPr>
      <w:r w:rsidRPr="00F942A1">
        <w:rPr>
          <w:rFonts w:ascii="Arial" w:eastAsia="ArialMT" w:hAnsi="Arial" w:cs="Arial"/>
          <w:sz w:val="24"/>
          <w:szCs w:val="24"/>
        </w:rPr>
        <w:t>Plan General Municipal de Ordenación Urbana:</w:t>
      </w:r>
    </w:p>
    <w:p w:rsidR="00F942A1" w:rsidRDefault="00F942A1" w:rsidP="00F942A1">
      <w:pPr>
        <w:suppressAutoHyphens/>
        <w:spacing w:after="0" w:line="240" w:lineRule="auto"/>
        <w:ind w:firstLine="708"/>
        <w:jc w:val="both"/>
        <w:rPr>
          <w:rFonts w:ascii="Arial" w:eastAsia="ArialMT" w:hAnsi="Arial" w:cs="Arial"/>
          <w:sz w:val="24"/>
          <w:szCs w:val="24"/>
        </w:rPr>
      </w:pPr>
      <w:r w:rsidRPr="00F942A1">
        <w:rPr>
          <w:rFonts w:ascii="Arial" w:eastAsia="ArialMT" w:hAnsi="Arial" w:cs="Arial"/>
          <w:sz w:val="24"/>
          <w:szCs w:val="24"/>
        </w:rPr>
        <w:t xml:space="preserve"> </w:t>
      </w:r>
      <w:hyperlink r:id="rId18" w:history="1">
        <w:r w:rsidRPr="00FD095F">
          <w:rPr>
            <w:rStyle w:val="Hipervnculo"/>
            <w:rFonts w:ascii="Arial" w:eastAsia="ArialMT" w:hAnsi="Arial" w:cs="Arial"/>
            <w:sz w:val="24"/>
            <w:szCs w:val="24"/>
          </w:rPr>
          <w:t>http://plangeneralcartagenaparticipacionciudadana.es/</w:t>
        </w:r>
      </w:hyperlink>
    </w:p>
    <w:p w:rsidR="00F942A1" w:rsidRDefault="00F942A1" w:rsidP="00F942A1">
      <w:pPr>
        <w:suppressAutoHyphens/>
        <w:spacing w:after="0" w:line="240" w:lineRule="auto"/>
        <w:ind w:firstLine="708"/>
        <w:jc w:val="both"/>
        <w:rPr>
          <w:rFonts w:ascii="Arial" w:eastAsia="ArialMT" w:hAnsi="Arial" w:cs="Arial"/>
          <w:sz w:val="24"/>
          <w:szCs w:val="24"/>
        </w:rPr>
      </w:pPr>
    </w:p>
    <w:p w:rsidR="00CD1EC8" w:rsidRDefault="00CD1EC8" w:rsidP="00CD1EC8">
      <w:pPr>
        <w:suppressAutoHyphens/>
        <w:spacing w:after="0" w:line="240" w:lineRule="auto"/>
        <w:ind w:firstLine="708"/>
        <w:jc w:val="both"/>
        <w:rPr>
          <w:rFonts w:ascii="Arial" w:eastAsia="ArialMT" w:hAnsi="Arial" w:cs="Arial"/>
          <w:sz w:val="24"/>
          <w:szCs w:val="24"/>
        </w:rPr>
      </w:pPr>
      <w:r>
        <w:rPr>
          <w:rFonts w:ascii="Arial" w:eastAsia="ArialMT" w:hAnsi="Arial" w:cs="Arial"/>
          <w:sz w:val="24"/>
          <w:szCs w:val="24"/>
        </w:rPr>
        <w:t>A este respecto cada servicio deberá de rendir cuentas de las actuaciones realizadas en fomento de la trasparencia y del Buen Gobierno en la tramitación de la actualización y modificación de las ordenanzas.</w:t>
      </w:r>
    </w:p>
    <w:p w:rsidR="00CD1EC8" w:rsidRDefault="00CD1EC8" w:rsidP="00CD1EC8">
      <w:pPr>
        <w:suppressAutoHyphens/>
        <w:spacing w:after="0" w:line="240" w:lineRule="auto"/>
        <w:jc w:val="both"/>
        <w:rPr>
          <w:rFonts w:ascii="Arial" w:eastAsia="ArialMT" w:hAnsi="Arial" w:cs="Arial"/>
          <w:sz w:val="24"/>
          <w:szCs w:val="24"/>
        </w:rPr>
      </w:pPr>
    </w:p>
    <w:p w:rsidR="00CD1EC8" w:rsidRPr="00C4548F" w:rsidRDefault="00CD1EC8" w:rsidP="00CD1EC8">
      <w:pPr>
        <w:suppressAutoHyphens/>
        <w:spacing w:after="0" w:line="240" w:lineRule="auto"/>
        <w:jc w:val="both"/>
        <w:rPr>
          <w:rFonts w:ascii="Arial" w:eastAsia="ArialMT" w:hAnsi="Arial" w:cs="Arial"/>
          <w:b/>
          <w:sz w:val="24"/>
          <w:szCs w:val="24"/>
        </w:rPr>
      </w:pPr>
    </w:p>
    <w:p w:rsidR="00CD1EC8" w:rsidRPr="009F2304" w:rsidRDefault="00CD1EC8" w:rsidP="009F2304">
      <w:pPr>
        <w:pStyle w:val="Prrafodelista"/>
        <w:numPr>
          <w:ilvl w:val="0"/>
          <w:numId w:val="4"/>
        </w:numPr>
        <w:suppressAutoHyphens/>
        <w:spacing w:after="0" w:line="240" w:lineRule="auto"/>
        <w:jc w:val="both"/>
        <w:rPr>
          <w:rFonts w:ascii="Arial" w:eastAsia="ArialMT" w:hAnsi="Arial" w:cs="Arial"/>
          <w:sz w:val="24"/>
          <w:szCs w:val="24"/>
        </w:rPr>
      </w:pPr>
      <w:r w:rsidRPr="009F2304">
        <w:rPr>
          <w:rFonts w:ascii="Arial" w:eastAsia="ArialMT" w:hAnsi="Arial" w:cs="Arial"/>
          <w:sz w:val="24"/>
          <w:szCs w:val="24"/>
        </w:rPr>
        <w:t xml:space="preserve">- </w:t>
      </w:r>
      <w:r w:rsidRPr="009F2304">
        <w:rPr>
          <w:rFonts w:ascii="Arial" w:eastAsia="Arial-BoldMT" w:hAnsi="Arial" w:cs="Arial"/>
          <w:b/>
          <w:sz w:val="24"/>
          <w:szCs w:val="24"/>
        </w:rPr>
        <w:t xml:space="preserve">Impulso para que el Pleno municipal controle y fiscalice las asignaciones realizadas a los Grupos municipales </w:t>
      </w:r>
      <w:r w:rsidRPr="009F2304">
        <w:rPr>
          <w:rFonts w:ascii="Arial" w:eastAsia="ArialMT" w:hAnsi="Arial" w:cs="Arial"/>
          <w:b/>
          <w:sz w:val="24"/>
          <w:szCs w:val="24"/>
        </w:rPr>
        <w:t>durante la actual legislatura, así como la anterior.</w:t>
      </w:r>
    </w:p>
    <w:p w:rsidR="009F2304" w:rsidRPr="009F2304" w:rsidRDefault="009F2304" w:rsidP="009F2304">
      <w:pPr>
        <w:pStyle w:val="Prrafodelista"/>
        <w:suppressAutoHyphens/>
        <w:spacing w:after="0" w:line="240" w:lineRule="auto"/>
        <w:jc w:val="both"/>
        <w:rPr>
          <w:rFonts w:ascii="Arial" w:eastAsia="ArialMT" w:hAnsi="Arial" w:cs="Arial"/>
          <w:sz w:val="24"/>
          <w:szCs w:val="24"/>
        </w:rPr>
      </w:pPr>
    </w:p>
    <w:p w:rsidR="00CD1EC8" w:rsidRDefault="00CD1EC8" w:rsidP="00CD1EC8">
      <w:pPr>
        <w:suppressAutoHyphens/>
        <w:spacing w:after="0" w:line="240" w:lineRule="auto"/>
        <w:jc w:val="both"/>
        <w:rPr>
          <w:rFonts w:ascii="Arial" w:eastAsia="Calibri" w:hAnsi="Arial" w:cs="Arial"/>
          <w:sz w:val="24"/>
          <w:szCs w:val="24"/>
        </w:rPr>
      </w:pPr>
      <w:r>
        <w:rPr>
          <w:rFonts w:ascii="Arial" w:eastAsia="Calibri" w:hAnsi="Arial" w:cs="Arial"/>
          <w:sz w:val="24"/>
          <w:szCs w:val="24"/>
        </w:rPr>
        <w:tab/>
        <w:t xml:space="preserve">A este respecto, por acuerdo plenario de febrero de 2017 se acordó que </w:t>
      </w:r>
      <w:r w:rsidRPr="00F03C59">
        <w:rPr>
          <w:rFonts w:ascii="Arial" w:eastAsia="Calibri" w:hAnsi="Arial" w:cs="Arial"/>
          <w:sz w:val="24"/>
          <w:szCs w:val="24"/>
        </w:rPr>
        <w:t>estas asignaciones sólo podrán ser utilizadas para el grupo municipal y no para gastos del partido”, además de tener que ajustarse a las restricciones del artículo 73 de la Ley Básica del Régimen Local que dicen que no se pueden adquirir inmovilizados ni contratar personal.</w:t>
      </w:r>
    </w:p>
    <w:p w:rsidR="00F942A1" w:rsidRDefault="00F942A1" w:rsidP="00CD1EC8">
      <w:pPr>
        <w:suppressAutoHyphens/>
        <w:spacing w:after="0" w:line="240" w:lineRule="auto"/>
        <w:jc w:val="both"/>
        <w:rPr>
          <w:rFonts w:ascii="Arial" w:eastAsia="Calibri" w:hAnsi="Arial" w:cs="Arial"/>
          <w:sz w:val="24"/>
          <w:szCs w:val="24"/>
        </w:rPr>
      </w:pPr>
    </w:p>
    <w:p w:rsidR="00F942A1" w:rsidRDefault="00F942A1" w:rsidP="00CD1EC8">
      <w:pPr>
        <w:suppressAutoHyphens/>
        <w:spacing w:after="0" w:line="240" w:lineRule="auto"/>
        <w:jc w:val="both"/>
        <w:rPr>
          <w:rFonts w:ascii="Arial" w:eastAsia="Calibri" w:hAnsi="Arial" w:cs="Arial"/>
          <w:sz w:val="24"/>
          <w:szCs w:val="24"/>
        </w:rPr>
      </w:pPr>
      <w:r w:rsidRPr="00F942A1">
        <w:rPr>
          <w:rFonts w:ascii="Arial" w:eastAsia="Calibri" w:hAnsi="Arial" w:cs="Arial"/>
          <w:sz w:val="24"/>
          <w:szCs w:val="24"/>
        </w:rPr>
        <w:t>- COMIISIÓN DE EJECUCIÓN DE LOS ACUERDOS DE PLENO</w:t>
      </w:r>
    </w:p>
    <w:p w:rsidR="00F942A1" w:rsidRPr="00C4548F" w:rsidRDefault="00F942A1" w:rsidP="00CD1EC8">
      <w:pPr>
        <w:suppressAutoHyphens/>
        <w:spacing w:after="0" w:line="240" w:lineRule="auto"/>
        <w:jc w:val="both"/>
        <w:rPr>
          <w:rFonts w:ascii="Arial" w:eastAsia="Calibri" w:hAnsi="Arial" w:cs="Arial"/>
          <w:sz w:val="24"/>
          <w:szCs w:val="24"/>
        </w:rPr>
      </w:pPr>
    </w:p>
    <w:p w:rsidR="00CD1EC8" w:rsidRPr="009F2304" w:rsidRDefault="00CD1EC8" w:rsidP="009F2304">
      <w:pPr>
        <w:pStyle w:val="Prrafodelista"/>
        <w:numPr>
          <w:ilvl w:val="0"/>
          <w:numId w:val="4"/>
        </w:numPr>
        <w:suppressAutoHyphens/>
        <w:spacing w:after="0" w:line="240" w:lineRule="auto"/>
        <w:jc w:val="both"/>
        <w:rPr>
          <w:rFonts w:ascii="Arial" w:eastAsia="ArialMT" w:hAnsi="Arial" w:cs="Arial"/>
          <w:b/>
          <w:sz w:val="24"/>
          <w:szCs w:val="24"/>
        </w:rPr>
      </w:pPr>
      <w:r w:rsidRPr="009F2304">
        <w:rPr>
          <w:rFonts w:ascii="Arial" w:eastAsia="ArialMT" w:hAnsi="Arial" w:cs="Arial"/>
          <w:sz w:val="24"/>
          <w:szCs w:val="24"/>
        </w:rPr>
        <w:t xml:space="preserve">- </w:t>
      </w:r>
      <w:r w:rsidRPr="009F2304">
        <w:rPr>
          <w:rFonts w:ascii="Arial" w:eastAsia="ArialMT" w:hAnsi="Arial" w:cs="Arial"/>
          <w:b/>
          <w:sz w:val="24"/>
          <w:szCs w:val="24"/>
        </w:rPr>
        <w:t>Elaboración de una ordenanza municipal en materia de transparencia realizada con la mayor participación posible.</w:t>
      </w:r>
    </w:p>
    <w:p w:rsidR="009F2304" w:rsidRDefault="009F2304" w:rsidP="009F2304">
      <w:pPr>
        <w:suppressAutoHyphens/>
        <w:spacing w:after="0" w:line="240" w:lineRule="auto"/>
        <w:ind w:left="360"/>
        <w:jc w:val="both"/>
        <w:rPr>
          <w:rFonts w:ascii="Arial" w:eastAsia="Calibri" w:hAnsi="Arial" w:cs="Arial"/>
          <w:sz w:val="24"/>
          <w:szCs w:val="24"/>
        </w:rPr>
      </w:pPr>
    </w:p>
    <w:p w:rsidR="00CD1EC8" w:rsidRDefault="009F2304" w:rsidP="009F2304">
      <w:pPr>
        <w:suppressAutoHyphens/>
        <w:spacing w:after="0" w:line="240" w:lineRule="auto"/>
        <w:ind w:left="360"/>
        <w:jc w:val="both"/>
        <w:rPr>
          <w:rFonts w:ascii="Arial" w:eastAsia="Calibri" w:hAnsi="Arial" w:cs="Arial"/>
          <w:sz w:val="24"/>
          <w:szCs w:val="24"/>
        </w:rPr>
      </w:pPr>
      <w:r w:rsidRPr="009F2304">
        <w:rPr>
          <w:rFonts w:ascii="Arial" w:eastAsia="Calibri" w:hAnsi="Arial" w:cs="Arial"/>
          <w:sz w:val="24"/>
          <w:szCs w:val="24"/>
        </w:rPr>
        <w:t xml:space="preserve">Este objetivo no </w:t>
      </w:r>
      <w:r>
        <w:rPr>
          <w:rFonts w:ascii="Arial" w:eastAsia="Calibri" w:hAnsi="Arial" w:cs="Arial"/>
          <w:sz w:val="24"/>
          <w:szCs w:val="24"/>
        </w:rPr>
        <w:t>h</w:t>
      </w:r>
      <w:r w:rsidRPr="009F2304">
        <w:rPr>
          <w:rFonts w:ascii="Arial" w:eastAsia="Calibri" w:hAnsi="Arial" w:cs="Arial"/>
          <w:sz w:val="24"/>
          <w:szCs w:val="24"/>
        </w:rPr>
        <w:t>a sido puesto en marcha</w:t>
      </w:r>
      <w:r>
        <w:rPr>
          <w:rFonts w:ascii="Arial" w:eastAsia="Calibri" w:hAnsi="Arial" w:cs="Arial"/>
          <w:sz w:val="24"/>
          <w:szCs w:val="24"/>
        </w:rPr>
        <w:t>.</w:t>
      </w:r>
    </w:p>
    <w:p w:rsidR="009F2304" w:rsidRPr="009F2304" w:rsidRDefault="009F2304" w:rsidP="009F2304">
      <w:pPr>
        <w:suppressAutoHyphens/>
        <w:spacing w:after="0" w:line="240" w:lineRule="auto"/>
        <w:ind w:left="360"/>
        <w:jc w:val="both"/>
        <w:rPr>
          <w:rFonts w:ascii="Arial" w:eastAsia="Calibri" w:hAnsi="Arial" w:cs="Arial"/>
          <w:sz w:val="24"/>
          <w:szCs w:val="24"/>
        </w:rPr>
      </w:pPr>
    </w:p>
    <w:p w:rsidR="009F2304" w:rsidRPr="00C4548F" w:rsidRDefault="009F2304" w:rsidP="009F2304">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Pendiente: </w:t>
      </w:r>
      <w:r>
        <w:rPr>
          <w:rFonts w:ascii="Arial" w:eastAsia="ArialMT" w:hAnsi="Arial" w:cs="Arial"/>
          <w:sz w:val="24"/>
          <w:szCs w:val="24"/>
        </w:rPr>
        <w:t>10</w:t>
      </w:r>
      <w:r w:rsidRPr="00C4548F">
        <w:rPr>
          <w:rFonts w:ascii="Arial" w:eastAsia="ArialMT" w:hAnsi="Arial" w:cs="Arial"/>
          <w:sz w:val="24"/>
          <w:szCs w:val="24"/>
        </w:rPr>
        <w:t>0%</w:t>
      </w:r>
    </w:p>
    <w:p w:rsidR="009F2304" w:rsidRPr="00C4548F" w:rsidRDefault="009F2304" w:rsidP="009F2304">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Dotación de recursos para puesta en marcha: </w:t>
      </w:r>
      <w:r>
        <w:rPr>
          <w:rFonts w:ascii="Arial" w:eastAsia="ArialMT" w:hAnsi="Arial" w:cs="Arial"/>
          <w:sz w:val="24"/>
          <w:szCs w:val="24"/>
        </w:rPr>
        <w:t>0</w:t>
      </w:r>
      <w:r w:rsidRPr="00C4548F">
        <w:rPr>
          <w:rFonts w:ascii="Arial" w:eastAsia="ArialMT" w:hAnsi="Arial" w:cs="Arial"/>
          <w:sz w:val="24"/>
          <w:szCs w:val="24"/>
        </w:rPr>
        <w:t>%</w:t>
      </w:r>
    </w:p>
    <w:p w:rsidR="009F2304" w:rsidRPr="00C4548F" w:rsidRDefault="009F2304" w:rsidP="009F2304">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Realización de la acción: 0%</w:t>
      </w:r>
    </w:p>
    <w:p w:rsidR="009F2304" w:rsidRPr="00F03C59" w:rsidRDefault="009F2304" w:rsidP="00CD1EC8">
      <w:pPr>
        <w:suppressAutoHyphens/>
        <w:spacing w:after="0" w:line="240" w:lineRule="auto"/>
        <w:jc w:val="both"/>
        <w:rPr>
          <w:rFonts w:ascii="Arial" w:eastAsia="Calibri" w:hAnsi="Arial" w:cs="Arial"/>
          <w:b/>
          <w:sz w:val="24"/>
          <w:szCs w:val="24"/>
        </w:rPr>
      </w:pPr>
    </w:p>
    <w:p w:rsidR="00CD1EC8" w:rsidRPr="009F2304" w:rsidRDefault="00CD1EC8" w:rsidP="009F2304">
      <w:pPr>
        <w:pStyle w:val="Prrafodelista"/>
        <w:numPr>
          <w:ilvl w:val="0"/>
          <w:numId w:val="4"/>
        </w:numPr>
        <w:rPr>
          <w:rFonts w:ascii="Arial" w:eastAsia="ArialMT" w:hAnsi="Arial" w:cs="Arial"/>
          <w:b/>
          <w:sz w:val="24"/>
          <w:szCs w:val="24"/>
        </w:rPr>
      </w:pPr>
      <w:r w:rsidRPr="009F2304">
        <w:rPr>
          <w:rFonts w:ascii="Arial" w:eastAsia="ArialMT" w:hAnsi="Arial" w:cs="Arial"/>
          <w:sz w:val="24"/>
          <w:szCs w:val="24"/>
        </w:rPr>
        <w:t xml:space="preserve">- </w:t>
      </w:r>
      <w:r w:rsidRPr="009F2304">
        <w:rPr>
          <w:rFonts w:ascii="Arial" w:eastAsia="ArialMT" w:hAnsi="Arial" w:cs="Arial"/>
          <w:b/>
          <w:sz w:val="24"/>
          <w:szCs w:val="24"/>
        </w:rPr>
        <w:t xml:space="preserve">Fomento de la participación ciudadana a través de </w:t>
      </w:r>
      <w:proofErr w:type="spellStart"/>
      <w:r w:rsidRPr="009F2304">
        <w:rPr>
          <w:rFonts w:ascii="Arial" w:eastAsia="ArialMT" w:hAnsi="Arial" w:cs="Arial"/>
          <w:b/>
          <w:sz w:val="24"/>
          <w:szCs w:val="24"/>
        </w:rPr>
        <w:t>contiGO</w:t>
      </w:r>
      <w:proofErr w:type="spellEnd"/>
      <w:r w:rsidRPr="009F2304">
        <w:rPr>
          <w:rFonts w:ascii="Arial" w:eastAsia="ArialMT" w:hAnsi="Arial" w:cs="Arial"/>
          <w:b/>
          <w:sz w:val="24"/>
          <w:szCs w:val="24"/>
        </w:rPr>
        <w:t>, espacio ubicado en el Portal de Transparencia municipal</w:t>
      </w:r>
    </w:p>
    <w:p w:rsidR="007E17F6" w:rsidRDefault="0075723B" w:rsidP="00CD1EC8">
      <w:pPr>
        <w:ind w:firstLine="708"/>
        <w:jc w:val="both"/>
        <w:rPr>
          <w:rFonts w:ascii="Arial" w:hAnsi="Arial" w:cs="Arial"/>
          <w:sz w:val="24"/>
          <w:szCs w:val="24"/>
        </w:rPr>
      </w:pPr>
      <w:r>
        <w:rPr>
          <w:rFonts w:ascii="Arial" w:hAnsi="Arial" w:cs="Arial"/>
          <w:sz w:val="24"/>
          <w:szCs w:val="24"/>
        </w:rPr>
        <w:t xml:space="preserve">Durante los ejercicios 2016 y 2017 se puso en marcha en la Web </w:t>
      </w:r>
      <w:r w:rsidR="007E17F6">
        <w:rPr>
          <w:rFonts w:ascii="Arial" w:hAnsi="Arial" w:cs="Arial"/>
          <w:sz w:val="24"/>
          <w:szCs w:val="24"/>
        </w:rPr>
        <w:t xml:space="preserve">municipal </w:t>
      </w:r>
      <w:r>
        <w:rPr>
          <w:rFonts w:ascii="Arial" w:hAnsi="Arial" w:cs="Arial"/>
          <w:sz w:val="24"/>
          <w:szCs w:val="24"/>
        </w:rPr>
        <w:t xml:space="preserve">una plataforma denominada </w:t>
      </w:r>
      <w:proofErr w:type="spellStart"/>
      <w:r w:rsidRPr="002024F4">
        <w:rPr>
          <w:rFonts w:ascii="Arial" w:hAnsi="Arial" w:cs="Arial"/>
          <w:sz w:val="24"/>
          <w:szCs w:val="24"/>
        </w:rPr>
        <w:t>ContiGO</w:t>
      </w:r>
      <w:proofErr w:type="spellEnd"/>
      <w:r>
        <w:rPr>
          <w:rFonts w:ascii="Arial" w:hAnsi="Arial" w:cs="Arial"/>
          <w:sz w:val="24"/>
          <w:szCs w:val="24"/>
        </w:rPr>
        <w:t xml:space="preserve">, </w:t>
      </w:r>
      <w:r w:rsidR="007E17F6">
        <w:rPr>
          <w:rFonts w:ascii="Arial" w:hAnsi="Arial" w:cs="Arial"/>
          <w:sz w:val="24"/>
          <w:szCs w:val="24"/>
        </w:rPr>
        <w:t>su</w:t>
      </w:r>
      <w:r>
        <w:rPr>
          <w:rFonts w:ascii="Arial" w:hAnsi="Arial" w:cs="Arial"/>
          <w:sz w:val="24"/>
          <w:szCs w:val="24"/>
        </w:rPr>
        <w:t xml:space="preserve"> objetivo </w:t>
      </w:r>
      <w:r w:rsidR="007E17F6">
        <w:rPr>
          <w:rFonts w:ascii="Arial" w:hAnsi="Arial" w:cs="Arial"/>
          <w:sz w:val="24"/>
          <w:szCs w:val="24"/>
        </w:rPr>
        <w:t xml:space="preserve">fue el de facilitar </w:t>
      </w:r>
      <w:r w:rsidR="007E17F6">
        <w:rPr>
          <w:rFonts w:ascii="Arial" w:hAnsi="Arial" w:cs="Arial"/>
          <w:sz w:val="24"/>
          <w:szCs w:val="24"/>
        </w:rPr>
        <w:lastRenderedPageBreak/>
        <w:t xml:space="preserve">una herramienta para que </w:t>
      </w:r>
      <w:r>
        <w:rPr>
          <w:rFonts w:ascii="Arial" w:hAnsi="Arial" w:cs="Arial"/>
          <w:sz w:val="24"/>
          <w:szCs w:val="24"/>
        </w:rPr>
        <w:t>los ciudadanos pu</w:t>
      </w:r>
      <w:r w:rsidR="007E17F6">
        <w:rPr>
          <w:rFonts w:ascii="Arial" w:hAnsi="Arial" w:cs="Arial"/>
          <w:sz w:val="24"/>
          <w:szCs w:val="24"/>
        </w:rPr>
        <w:t xml:space="preserve">dieran ponerse </w:t>
      </w:r>
      <w:r>
        <w:rPr>
          <w:rFonts w:ascii="Arial" w:hAnsi="Arial" w:cs="Arial"/>
          <w:sz w:val="24"/>
          <w:szCs w:val="24"/>
        </w:rPr>
        <w:t>en contacto con el Ayuntamiento y pusieran en valor sus iniciativas</w:t>
      </w:r>
      <w:r w:rsidR="007E17F6">
        <w:rPr>
          <w:rFonts w:ascii="Arial" w:hAnsi="Arial" w:cs="Arial"/>
          <w:sz w:val="24"/>
          <w:szCs w:val="24"/>
        </w:rPr>
        <w:t xml:space="preserve">. Se realizaran encuestas en las que los ciudadanos pudieron votar </w:t>
      </w:r>
      <w:r w:rsidR="007E17F6" w:rsidRPr="007E17F6">
        <w:rPr>
          <w:rFonts w:ascii="Arial" w:hAnsi="Arial" w:cs="Arial"/>
          <w:sz w:val="24"/>
          <w:szCs w:val="24"/>
        </w:rPr>
        <w:t xml:space="preserve">propuestas de actuación </w:t>
      </w:r>
      <w:r w:rsidR="007E17F6">
        <w:rPr>
          <w:rFonts w:ascii="Arial" w:hAnsi="Arial" w:cs="Arial"/>
          <w:sz w:val="24"/>
          <w:szCs w:val="24"/>
        </w:rPr>
        <w:t xml:space="preserve">como por ejemplo </w:t>
      </w:r>
      <w:r w:rsidR="00081EF5">
        <w:rPr>
          <w:rFonts w:ascii="Arial" w:hAnsi="Arial" w:cs="Arial"/>
          <w:sz w:val="24"/>
          <w:szCs w:val="24"/>
        </w:rPr>
        <w:t xml:space="preserve">actuaciones de inversión </w:t>
      </w:r>
      <w:bookmarkStart w:id="0" w:name="_GoBack"/>
      <w:bookmarkEnd w:id="0"/>
      <w:r w:rsidR="007E17F6" w:rsidRPr="007E17F6">
        <w:rPr>
          <w:rFonts w:ascii="Arial" w:hAnsi="Arial" w:cs="Arial"/>
          <w:sz w:val="24"/>
          <w:szCs w:val="24"/>
        </w:rPr>
        <w:t>en el Castillo de los Moros y el barrio de Los Mateos</w:t>
      </w:r>
      <w:r w:rsidR="007E17F6">
        <w:rPr>
          <w:rFonts w:ascii="Arial" w:hAnsi="Arial" w:cs="Arial"/>
          <w:sz w:val="24"/>
          <w:szCs w:val="24"/>
        </w:rPr>
        <w:t>.</w:t>
      </w:r>
    </w:p>
    <w:p w:rsidR="00F942A1" w:rsidRDefault="00F942A1" w:rsidP="00CD1EC8">
      <w:pPr>
        <w:ind w:firstLine="708"/>
        <w:jc w:val="both"/>
        <w:rPr>
          <w:rFonts w:ascii="Arial" w:hAnsi="Arial" w:cs="Arial"/>
          <w:sz w:val="24"/>
          <w:szCs w:val="24"/>
        </w:rPr>
      </w:pPr>
      <w:r>
        <w:rPr>
          <w:rFonts w:ascii="Arial" w:hAnsi="Arial" w:cs="Arial"/>
          <w:sz w:val="24"/>
          <w:szCs w:val="24"/>
        </w:rPr>
        <w:t>Este proyecto se desechó al poner en marcha la Comisión de Participación Ciudadana</w:t>
      </w:r>
      <w:r w:rsidR="00E4245F">
        <w:rPr>
          <w:rFonts w:ascii="Arial" w:hAnsi="Arial" w:cs="Arial"/>
          <w:sz w:val="24"/>
          <w:szCs w:val="24"/>
        </w:rPr>
        <w:t>.</w:t>
      </w:r>
    </w:p>
    <w:p w:rsidR="00531531" w:rsidRDefault="00531531" w:rsidP="00CD1EC8">
      <w:pPr>
        <w:suppressLineNumbers/>
        <w:tabs>
          <w:tab w:val="center" w:pos="1276"/>
          <w:tab w:val="center" w:pos="4819"/>
          <w:tab w:val="right" w:pos="9638"/>
          <w:tab w:val="right" w:pos="9638"/>
        </w:tabs>
        <w:spacing w:after="0" w:line="240" w:lineRule="auto"/>
        <w:ind w:right="-22"/>
        <w:jc w:val="both"/>
        <w:rPr>
          <w:rFonts w:ascii="ArialMT" w:eastAsia="ArialMT" w:hAnsi="ArialMT" w:cs="ArialMT"/>
          <w:sz w:val="24"/>
        </w:rPr>
      </w:pPr>
    </w:p>
    <w:p w:rsidR="009F2304" w:rsidRPr="00C4548F" w:rsidRDefault="009F2304" w:rsidP="009F2304">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Pendiente: 0%</w:t>
      </w:r>
    </w:p>
    <w:p w:rsidR="009F2304" w:rsidRPr="00C4548F" w:rsidRDefault="009F2304" w:rsidP="009F2304">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Dotación de recursos para puesta en marcha: </w:t>
      </w:r>
      <w:r>
        <w:rPr>
          <w:rFonts w:ascii="Arial" w:eastAsia="ArialMT" w:hAnsi="Arial" w:cs="Arial"/>
          <w:sz w:val="24"/>
          <w:szCs w:val="24"/>
        </w:rPr>
        <w:t>100</w:t>
      </w:r>
      <w:r w:rsidRPr="00C4548F">
        <w:rPr>
          <w:rFonts w:ascii="Arial" w:eastAsia="ArialMT" w:hAnsi="Arial" w:cs="Arial"/>
          <w:sz w:val="24"/>
          <w:szCs w:val="24"/>
        </w:rPr>
        <w:t>%</w:t>
      </w:r>
    </w:p>
    <w:p w:rsidR="009F2304" w:rsidRPr="00C4548F" w:rsidRDefault="009F2304" w:rsidP="009F2304">
      <w:pPr>
        <w:numPr>
          <w:ilvl w:val="0"/>
          <w:numId w:val="2"/>
        </w:numPr>
        <w:tabs>
          <w:tab w:val="left" w:pos="720"/>
        </w:tabs>
        <w:spacing w:after="144" w:line="240" w:lineRule="auto"/>
        <w:ind w:hanging="360"/>
        <w:jc w:val="both"/>
        <w:rPr>
          <w:rFonts w:ascii="Arial" w:eastAsia="ArialMT" w:hAnsi="Arial" w:cs="Arial"/>
          <w:sz w:val="24"/>
          <w:szCs w:val="24"/>
        </w:rPr>
      </w:pPr>
      <w:r w:rsidRPr="00C4548F">
        <w:rPr>
          <w:rFonts w:ascii="Arial" w:eastAsia="ArialMT" w:hAnsi="Arial" w:cs="Arial"/>
          <w:sz w:val="24"/>
          <w:szCs w:val="24"/>
        </w:rPr>
        <w:t xml:space="preserve">Realización de la acción: </w:t>
      </w:r>
      <w:r>
        <w:rPr>
          <w:rFonts w:ascii="Arial" w:eastAsia="ArialMT" w:hAnsi="Arial" w:cs="Arial"/>
          <w:sz w:val="24"/>
          <w:szCs w:val="24"/>
        </w:rPr>
        <w:t>10</w:t>
      </w:r>
      <w:r w:rsidRPr="00C4548F">
        <w:rPr>
          <w:rFonts w:ascii="Arial" w:eastAsia="ArialMT" w:hAnsi="Arial" w:cs="Arial"/>
          <w:sz w:val="24"/>
          <w:szCs w:val="24"/>
        </w:rPr>
        <w:t>0%</w:t>
      </w:r>
    </w:p>
    <w:p w:rsidR="00235474" w:rsidRDefault="00235474">
      <w:pPr>
        <w:suppressAutoHyphens/>
        <w:spacing w:after="0" w:line="317" w:lineRule="auto"/>
        <w:ind w:firstLine="709"/>
        <w:jc w:val="both"/>
        <w:rPr>
          <w:rFonts w:ascii="Verdana" w:eastAsia="Verdana" w:hAnsi="Verdana" w:cs="Verdana"/>
          <w:sz w:val="20"/>
        </w:rPr>
      </w:pPr>
    </w:p>
    <w:p w:rsidR="00235474" w:rsidRPr="00FC2C77" w:rsidRDefault="00FC2C77" w:rsidP="00FC2C77">
      <w:pPr>
        <w:suppressAutoHyphens/>
        <w:spacing w:after="0" w:line="317" w:lineRule="auto"/>
        <w:ind w:firstLine="709"/>
        <w:jc w:val="center"/>
        <w:rPr>
          <w:rFonts w:ascii="ArialMT" w:eastAsia="ArialMT" w:hAnsi="ArialMT" w:cs="ArialMT"/>
          <w:sz w:val="24"/>
        </w:rPr>
      </w:pPr>
      <w:r w:rsidRPr="00FC2C77">
        <w:rPr>
          <w:rFonts w:ascii="ArialMT" w:eastAsia="ArialMT" w:hAnsi="ArialMT" w:cs="ArialMT"/>
          <w:sz w:val="24"/>
        </w:rPr>
        <w:t>En Cartagena, a 1</w:t>
      </w:r>
      <w:r w:rsidR="008B1740">
        <w:rPr>
          <w:rFonts w:ascii="ArialMT" w:eastAsia="ArialMT" w:hAnsi="ArialMT" w:cs="ArialMT"/>
          <w:sz w:val="24"/>
        </w:rPr>
        <w:t>8</w:t>
      </w:r>
      <w:r w:rsidRPr="00FC2C77">
        <w:rPr>
          <w:rFonts w:ascii="ArialMT" w:eastAsia="ArialMT" w:hAnsi="ArialMT" w:cs="ArialMT"/>
          <w:sz w:val="24"/>
        </w:rPr>
        <w:t xml:space="preserve"> de diciembre de 2018</w:t>
      </w:r>
    </w:p>
    <w:p w:rsidR="00235474" w:rsidRPr="00FC2C77" w:rsidRDefault="00235474" w:rsidP="00FC2C77">
      <w:pPr>
        <w:suppressAutoHyphens/>
        <w:spacing w:after="0" w:line="317" w:lineRule="auto"/>
        <w:ind w:firstLine="709"/>
        <w:jc w:val="center"/>
        <w:rPr>
          <w:rFonts w:ascii="ArialMT" w:eastAsia="ArialMT" w:hAnsi="ArialMT" w:cs="ArialMT"/>
          <w:sz w:val="24"/>
        </w:rPr>
      </w:pPr>
    </w:p>
    <w:p w:rsidR="00235474" w:rsidRPr="00FC2C77" w:rsidRDefault="00FC2C77" w:rsidP="00FC2C77">
      <w:pPr>
        <w:suppressAutoHyphens/>
        <w:spacing w:after="0" w:line="317" w:lineRule="auto"/>
        <w:ind w:firstLine="709"/>
        <w:jc w:val="center"/>
        <w:rPr>
          <w:rFonts w:ascii="ArialMT" w:eastAsia="ArialMT" w:hAnsi="ArialMT" w:cs="ArialMT"/>
          <w:sz w:val="24"/>
        </w:rPr>
      </w:pPr>
      <w:r w:rsidRPr="00FC2C77">
        <w:rPr>
          <w:rFonts w:ascii="ArialMT" w:eastAsia="ArialMT" w:hAnsi="ArialMT" w:cs="ArialMT"/>
          <w:sz w:val="24"/>
        </w:rPr>
        <w:t>La Concejal Delegada del Área de Servicios Sociales, Educación y Transparencia</w:t>
      </w:r>
    </w:p>
    <w:p w:rsidR="00235474" w:rsidRPr="00FC2C77" w:rsidRDefault="00235474" w:rsidP="00FC2C77">
      <w:pPr>
        <w:suppressAutoHyphens/>
        <w:spacing w:after="0" w:line="317" w:lineRule="auto"/>
        <w:ind w:firstLine="709"/>
        <w:jc w:val="center"/>
        <w:rPr>
          <w:rFonts w:ascii="ArialMT" w:eastAsia="ArialMT" w:hAnsi="ArialMT" w:cs="ArialMT"/>
          <w:sz w:val="24"/>
        </w:rPr>
      </w:pPr>
    </w:p>
    <w:p w:rsidR="00235474" w:rsidRPr="00FC2C77" w:rsidRDefault="00235474" w:rsidP="00FC2C77">
      <w:pPr>
        <w:suppressAutoHyphens/>
        <w:spacing w:after="0" w:line="317" w:lineRule="auto"/>
        <w:ind w:firstLine="709"/>
        <w:jc w:val="center"/>
        <w:rPr>
          <w:rFonts w:ascii="ArialMT" w:eastAsia="ArialMT" w:hAnsi="ArialMT" w:cs="ArialMT"/>
          <w:sz w:val="24"/>
        </w:rPr>
      </w:pPr>
    </w:p>
    <w:p w:rsidR="00531531" w:rsidRDefault="00FC2C77" w:rsidP="009F2304">
      <w:pPr>
        <w:suppressAutoHyphens/>
        <w:spacing w:after="0" w:line="317" w:lineRule="auto"/>
        <w:ind w:firstLine="709"/>
        <w:jc w:val="center"/>
        <w:rPr>
          <w:rFonts w:ascii="Verdana" w:eastAsia="Verdana" w:hAnsi="Verdana" w:cs="Verdana"/>
          <w:sz w:val="24"/>
        </w:rPr>
      </w:pPr>
      <w:r w:rsidRPr="00FC2C77">
        <w:rPr>
          <w:rFonts w:ascii="ArialMT" w:eastAsia="ArialMT" w:hAnsi="ArialMT" w:cs="ArialMT"/>
          <w:sz w:val="24"/>
        </w:rPr>
        <w:t>Mª. Mercedes García Gómez</w:t>
      </w:r>
    </w:p>
    <w:p w:rsidR="00235474" w:rsidRDefault="00235474">
      <w:pPr>
        <w:spacing w:after="0" w:line="240" w:lineRule="auto"/>
        <w:jc w:val="both"/>
        <w:rPr>
          <w:rFonts w:ascii="Verdana" w:eastAsia="Verdana" w:hAnsi="Verdana" w:cs="Verdana"/>
          <w:sz w:val="24"/>
        </w:rPr>
      </w:pPr>
    </w:p>
    <w:sectPr w:rsidR="00235474" w:rsidSect="008B1740">
      <w:headerReference w:type="default" r:id="rId19"/>
      <w:pgSz w:w="11906" w:h="16838"/>
      <w:pgMar w:top="209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77" w:rsidRDefault="00FC2C77" w:rsidP="00FC2C77">
      <w:pPr>
        <w:spacing w:after="0" w:line="240" w:lineRule="auto"/>
      </w:pPr>
      <w:r>
        <w:separator/>
      </w:r>
    </w:p>
  </w:endnote>
  <w:endnote w:type="continuationSeparator" w:id="0">
    <w:p w:rsidR="00FC2C77" w:rsidRDefault="00FC2C77" w:rsidP="00FC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77" w:rsidRDefault="00FC2C77" w:rsidP="00FC2C77">
      <w:pPr>
        <w:spacing w:after="0" w:line="240" w:lineRule="auto"/>
      </w:pPr>
      <w:r>
        <w:separator/>
      </w:r>
    </w:p>
  </w:footnote>
  <w:footnote w:type="continuationSeparator" w:id="0">
    <w:p w:rsidR="00FC2C77" w:rsidRDefault="00FC2C77" w:rsidP="00FC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C8" w:rsidRDefault="00FC2C77" w:rsidP="00CD1EC8">
    <w:pPr>
      <w:pStyle w:val="Encabezado"/>
      <w:tabs>
        <w:tab w:val="clear" w:pos="4252"/>
        <w:tab w:val="clear" w:pos="8504"/>
        <w:tab w:val="center" w:pos="1843"/>
        <w:tab w:val="right" w:pos="8080"/>
      </w:tabs>
      <w:ind w:left="4111"/>
      <w:jc w:val="center"/>
      <w:rPr>
        <w:rFonts w:ascii="Verdana" w:eastAsia="Verdana" w:hAnsi="Verdana" w:cs="Verdana"/>
        <w:b/>
        <w:sz w:val="16"/>
      </w:rPr>
    </w:pPr>
    <w:r>
      <w:rPr>
        <w:noProof/>
      </w:rPr>
      <w:drawing>
        <wp:anchor distT="0" distB="0" distL="114300" distR="114300" simplePos="0" relativeHeight="251659264" behindDoc="1" locked="0" layoutInCell="1" allowOverlap="1" wp14:anchorId="06A7F53C" wp14:editId="7477AB9A">
          <wp:simplePos x="0" y="0"/>
          <wp:positionH relativeFrom="column">
            <wp:posOffset>15497</wp:posOffset>
          </wp:positionH>
          <wp:positionV relativeFrom="paragraph">
            <wp:posOffset>-218921</wp:posOffset>
          </wp:positionV>
          <wp:extent cx="757882" cy="103860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28" cy="10379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C77">
      <w:ptab w:relativeTo="margin" w:alignment="center" w:leader="none"/>
    </w:r>
    <w:r>
      <w:tab/>
    </w:r>
    <w:r w:rsidRPr="00CD1EC8">
      <w:rPr>
        <w:rFonts w:ascii="Verdana" w:eastAsia="Verdana" w:hAnsi="Verdana" w:cs="Verdana"/>
        <w:b/>
        <w:color w:val="808080" w:themeColor="background1" w:themeShade="80"/>
        <w:sz w:val="16"/>
      </w:rPr>
      <w:t>ÁREA DE GOBIERNO DE SERVICIOS SOCIALES,</w:t>
    </w:r>
    <w:r w:rsidR="00316A40" w:rsidRPr="00CD1EC8">
      <w:rPr>
        <w:rFonts w:ascii="Verdana" w:eastAsia="Verdana" w:hAnsi="Verdana" w:cs="Verdana"/>
        <w:b/>
        <w:color w:val="808080" w:themeColor="background1" w:themeShade="80"/>
        <w:sz w:val="16"/>
      </w:rPr>
      <w:t xml:space="preserve"> </w:t>
    </w:r>
    <w:r w:rsidRPr="00CD1EC8">
      <w:rPr>
        <w:rFonts w:ascii="Verdana" w:eastAsia="Verdana" w:hAnsi="Verdana" w:cs="Verdana"/>
        <w:b/>
        <w:color w:val="808080" w:themeColor="background1" w:themeShade="80"/>
        <w:sz w:val="16"/>
      </w:rPr>
      <w:t xml:space="preserve">EDUCACIÓN Y </w:t>
    </w:r>
    <w:r w:rsidR="008B1740" w:rsidRPr="00CD1EC8">
      <w:rPr>
        <w:rFonts w:ascii="Verdana" w:eastAsia="Verdana" w:hAnsi="Verdana" w:cs="Verdana"/>
        <w:b/>
        <w:color w:val="808080" w:themeColor="background1" w:themeShade="80"/>
        <w:sz w:val="16"/>
      </w:rPr>
      <w:t xml:space="preserve"> T</w:t>
    </w:r>
    <w:r w:rsidRPr="00CD1EC8">
      <w:rPr>
        <w:rFonts w:ascii="Verdana" w:eastAsia="Verdana" w:hAnsi="Verdana" w:cs="Verdana"/>
        <w:b/>
        <w:color w:val="808080" w:themeColor="background1" w:themeShade="80"/>
        <w:sz w:val="16"/>
      </w:rPr>
      <w:t>RANSPARENCIA</w:t>
    </w:r>
  </w:p>
  <w:p w:rsidR="00FC2C77" w:rsidRDefault="00CD1EC8" w:rsidP="00CD1EC8">
    <w:pPr>
      <w:pStyle w:val="Encabezado"/>
      <w:tabs>
        <w:tab w:val="clear" w:pos="4252"/>
        <w:tab w:val="clear" w:pos="8504"/>
        <w:tab w:val="center" w:pos="1843"/>
        <w:tab w:val="right" w:pos="8505"/>
      </w:tabs>
      <w:ind w:left="5670"/>
      <w:jc w:val="right"/>
    </w:pPr>
    <w:r>
      <w:rPr>
        <w:rFonts w:ascii="Verdana" w:eastAsia="Verdana" w:hAnsi="Verdana" w:cs="Verdana"/>
        <w:b/>
        <w:sz w:val="16"/>
      </w:rPr>
      <w:t>OFICINA DE TRANSPARENCIA</w:t>
    </w:r>
    <w:r w:rsidR="00FC2C77">
      <w:rPr>
        <w:rFonts w:ascii="Verdana" w:eastAsia="Verdana" w:hAnsi="Verdana" w:cs="Verdana"/>
        <w:b/>
        <w:sz w:val="16"/>
      </w:rPr>
      <w:t xml:space="preserve"> </w:t>
    </w:r>
    <w:r w:rsidR="00FC2C77" w:rsidRPr="00FC2C7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C97"/>
    <w:multiLevelType w:val="multilevel"/>
    <w:tmpl w:val="E4ECB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43C4B"/>
    <w:multiLevelType w:val="hybridMultilevel"/>
    <w:tmpl w:val="28720876"/>
    <w:lvl w:ilvl="0" w:tplc="020E0B12">
      <w:start w:val="1"/>
      <w:numFmt w:val="decimal"/>
      <w:lvlText w:val="%1)"/>
      <w:lvlJc w:val="left"/>
      <w:pPr>
        <w:ind w:left="720" w:hanging="360"/>
      </w:pPr>
      <w:rPr>
        <w:rFonts w:eastAsia="Arial-BoldMT" w:hint="default"/>
        <w:b/>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EF043F9"/>
    <w:multiLevelType w:val="hybridMultilevel"/>
    <w:tmpl w:val="0FBA9D62"/>
    <w:lvl w:ilvl="0" w:tplc="040A0011">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1C03087"/>
    <w:multiLevelType w:val="multilevel"/>
    <w:tmpl w:val="DF64A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235474"/>
    <w:rsid w:val="00081EF5"/>
    <w:rsid w:val="00151C72"/>
    <w:rsid w:val="00235474"/>
    <w:rsid w:val="00314133"/>
    <w:rsid w:val="00316A40"/>
    <w:rsid w:val="00531531"/>
    <w:rsid w:val="005A34BD"/>
    <w:rsid w:val="00751D59"/>
    <w:rsid w:val="0075723B"/>
    <w:rsid w:val="007E17F6"/>
    <w:rsid w:val="008B1740"/>
    <w:rsid w:val="009E7F17"/>
    <w:rsid w:val="009F2304"/>
    <w:rsid w:val="00A25E21"/>
    <w:rsid w:val="00B77370"/>
    <w:rsid w:val="00CD1EC8"/>
    <w:rsid w:val="00D60AAD"/>
    <w:rsid w:val="00D71F49"/>
    <w:rsid w:val="00E20BD4"/>
    <w:rsid w:val="00E4245F"/>
    <w:rsid w:val="00F942A1"/>
    <w:rsid w:val="00FB2653"/>
    <w:rsid w:val="00FC2C77"/>
    <w:rsid w:val="00FF47E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C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2C77"/>
  </w:style>
  <w:style w:type="paragraph" w:styleId="Piedepgina">
    <w:name w:val="footer"/>
    <w:basedOn w:val="Normal"/>
    <w:link w:val="PiedepginaCar"/>
    <w:uiPriority w:val="99"/>
    <w:unhideWhenUsed/>
    <w:rsid w:val="00FC2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2C77"/>
  </w:style>
  <w:style w:type="paragraph" w:styleId="Textodeglobo">
    <w:name w:val="Balloon Text"/>
    <w:basedOn w:val="Normal"/>
    <w:link w:val="TextodegloboCar"/>
    <w:uiPriority w:val="99"/>
    <w:semiHidden/>
    <w:unhideWhenUsed/>
    <w:rsid w:val="00FC2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C77"/>
    <w:rPr>
      <w:rFonts w:ascii="Tahoma" w:hAnsi="Tahoma" w:cs="Tahoma"/>
      <w:sz w:val="16"/>
      <w:szCs w:val="16"/>
    </w:rPr>
  </w:style>
  <w:style w:type="character" w:styleId="Hipervnculo">
    <w:name w:val="Hyperlink"/>
    <w:basedOn w:val="Fuentedeprrafopredeter"/>
    <w:uiPriority w:val="99"/>
    <w:unhideWhenUsed/>
    <w:rsid w:val="00CD1EC8"/>
    <w:rPr>
      <w:color w:val="0000FF" w:themeColor="hyperlink"/>
      <w:u w:val="single"/>
    </w:rPr>
  </w:style>
  <w:style w:type="paragraph" w:customStyle="1" w:styleId="western">
    <w:name w:val="western"/>
    <w:basedOn w:val="Normal"/>
    <w:rsid w:val="00CD1EC8"/>
    <w:pPr>
      <w:spacing w:before="100" w:beforeAutospacing="1" w:after="119" w:line="240" w:lineRule="auto"/>
    </w:pPr>
    <w:rPr>
      <w:rFonts w:ascii="Helvetica" w:eastAsia="Times New Roman" w:hAnsi="Helvetica" w:cs="Helvetica"/>
      <w:color w:val="000000"/>
      <w:sz w:val="24"/>
      <w:szCs w:val="24"/>
      <w:lang w:val="es-ES" w:eastAsia="es-ES"/>
    </w:rPr>
  </w:style>
  <w:style w:type="paragraph" w:styleId="Prrafodelista">
    <w:name w:val="List Paragraph"/>
    <w:basedOn w:val="Normal"/>
    <w:uiPriority w:val="34"/>
    <w:qFormat/>
    <w:rsid w:val="00FB2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835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tagena.es/gobiernoabierto.asp" TargetMode="External"/><Relationship Id="rId13" Type="http://schemas.openxmlformats.org/officeDocument/2006/relationships/hyperlink" Target="https://www.cartagena.es/gestion/documentos/19517.pdf" TargetMode="External"/><Relationship Id="rId18" Type="http://schemas.openxmlformats.org/officeDocument/2006/relationships/hyperlink" Target="http://plangeneralcartagenaparticipacionciudadana.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rtagena.es/gestion/documentos/19516.pdf" TargetMode="External"/><Relationship Id="rId17" Type="http://schemas.openxmlformats.org/officeDocument/2006/relationships/hyperlink" Target="https://www.cartagena.es/detalle_tablon.asp?id=52895" TargetMode="External"/><Relationship Id="rId2" Type="http://schemas.openxmlformats.org/officeDocument/2006/relationships/styles" Target="styles.xml"/><Relationship Id="rId16" Type="http://schemas.openxmlformats.org/officeDocument/2006/relationships/hyperlink" Target="https://www.cartagena.es/detalle_noticias.asp?id=492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rtagena.es/gestion/documentos/19515.pdf" TargetMode="External"/><Relationship Id="rId5" Type="http://schemas.openxmlformats.org/officeDocument/2006/relationships/webSettings" Target="webSettings.xml"/><Relationship Id="rId15" Type="http://schemas.openxmlformats.org/officeDocument/2006/relationships/hyperlink" Target="https://www.cartagena.es/gestion/documentos/19519.pdf" TargetMode="External"/><Relationship Id="rId10" Type="http://schemas.openxmlformats.org/officeDocument/2006/relationships/hyperlink" Target="https://www.cartagena.es/gestion/documentos/1951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tagena.es/plantillas/14b.asp?pt_idpag=1362" TargetMode="External"/><Relationship Id="rId14" Type="http://schemas.openxmlformats.org/officeDocument/2006/relationships/hyperlink" Target="https://www.cartagena.es/gestion/documentos/19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2303</Words>
  <Characters>12671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jhb62z</dc:creator>
  <cp:lastModifiedBy>jhb62z</cp:lastModifiedBy>
  <cp:revision>6</cp:revision>
  <cp:lastPrinted>2018-12-18T13:32:00Z</cp:lastPrinted>
  <dcterms:created xsi:type="dcterms:W3CDTF">2019-02-22T10:52:00Z</dcterms:created>
  <dcterms:modified xsi:type="dcterms:W3CDTF">2019-02-26T08:45:00Z</dcterms:modified>
</cp:coreProperties>
</file>