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rPr>
          <w:rFonts w:ascii="FreeSans" w:hAnsi="FreeSans"/>
        </w:rPr>
      </w:pPr>
      <w:r>
        <w:rPr>
          <w:rFonts w:ascii="FreeSans" w:hAnsi="FreeSan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-201930</wp:posOffset>
            </wp:positionH>
            <wp:positionV relativeFrom="paragraph">
              <wp:posOffset>-581025</wp:posOffset>
            </wp:positionV>
            <wp:extent cx="994410" cy="137160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4059555</wp:posOffset>
            </wp:positionH>
            <wp:positionV relativeFrom="paragraph">
              <wp:posOffset>-391795</wp:posOffset>
            </wp:positionV>
            <wp:extent cx="1435100" cy="102044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284" w:hanging="0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 xml:space="preserve">PREGUNTA QUE PRESENTA GONZALO ABAD MUÑOZ, CONCEJAL 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DEL GRUPO MUNICIPAL VOX CARTAGENA</w:t>
      </w:r>
      <w:r>
        <w:rPr>
          <w:rFonts w:ascii="Liberation Sans" w:hAnsi="Liberation Sans"/>
          <w:b/>
          <w:sz w:val="26"/>
          <w:szCs w:val="26"/>
        </w:rPr>
        <w:t>, SOBRE "</w:t>
      </w:r>
      <w:r>
        <w:rPr>
          <w:rFonts w:ascii="Liberation Sans" w:hAnsi="Liberation Sans"/>
          <w:b/>
          <w:sz w:val="26"/>
          <w:szCs w:val="26"/>
        </w:rPr>
        <w:t xml:space="preserve">INSTALACIÓN DE 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ASEOS PÚBLICOS POR EL CONCESIONARIO DEL AGUA</w:t>
      </w:r>
      <w:r>
        <w:rPr>
          <w:rFonts w:ascii="Liberation Sans" w:hAnsi="Liberation Sans"/>
          <w:b/>
          <w:sz w:val="26"/>
          <w:szCs w:val="26"/>
        </w:rPr>
        <w:t xml:space="preserve">”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MOTIVACIÓN DE LA PREGUNTA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 xml:space="preserve">En el informe técnico sobre el Estudio Económico del Servicio del Ciclo Integral del Agua si incluye una partida de unos 225.000 € para la instalación de cinco aseos públicos en el centro de Cartagena, la cual no estaba incluida en el estudio económico del concesionario,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/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 xml:space="preserve">Todo ello </w:t>
      </w: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 xml:space="preserve">con una tabla de financiación que supone unos 11.000 €/año a incluir en los costes que determinan la tarifa, y de cuyo mantenimiento se dice que se va a hacer cargo el Ayuntamiento.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/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>Para un coste perfectamente asumible por el Ayuntamiento, se prevé su financiación a 21 años, con los correspondientes intereses</w:t>
      </w: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>, con cargo a la tarifa del agua</w:t>
      </w: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>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/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>Estos aseos estaban previstos en el programa de gobierno y además se aprobó una moción de este grupo en septiembre de 2019, hace ya tres años.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/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 w:val="false"/>
          <w:bCs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PREGUNTA: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/>
      </w:pP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¿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No hubiera sido más sencillo y efectivo sacar a concesión su instalación y mantenimiento, como proponía la moción, de forma que ya estarían en funcionamiento, y para cuándo está previsto que entren en servicio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?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 w:eastAsia="" w:cs="" w:cstheme="minorBidi" w:eastAsiaTheme="minorEastAsia"/>
          <w:b/>
          <w:b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Cartagena, 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>2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>8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</w:t>
      </w:r>
      <w:r>
        <w:rPr>
          <w:rFonts w:ascii="Liberation Sans" w:hAnsi="Liberation Sans"/>
          <w:b w:val="false"/>
          <w:bCs w:val="false"/>
          <w:sz w:val="26"/>
          <w:szCs w:val="26"/>
        </w:rPr>
        <w:t>de septiembre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de 2022</w:t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2596" w:hanging="0"/>
        <w:rPr/>
      </w:pPr>
      <w:r>
        <w:rPr>
          <w:rFonts w:ascii="Liberation Sans" w:hAnsi="Liberation Sans"/>
          <w:sz w:val="26"/>
          <w:szCs w:val="26"/>
        </w:rPr>
        <w:t>Fdo: Gonzalo Abad Muñoz</w:t>
      </w:r>
    </w:p>
    <w:p>
      <w:pPr>
        <w:pStyle w:val="Normal"/>
        <w:spacing w:lineRule="auto" w:line="240"/>
        <w:ind w:left="2596" w:hang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cs="Times New Roman" w:ascii="Liberation Sans Narrow" w:hAnsi="Liberation Sans Narrow"/>
          <w:b/>
          <w:sz w:val="26"/>
          <w:szCs w:val="26"/>
        </w:rPr>
        <w:t>A LA ALCALDÍA – PRESIDENCIA DEL EXCMO. AYUNTAMIENTO DE CARTAGENA</w:t>
      </w:r>
    </w:p>
    <w:sectPr>
      <w:type w:val="nextPage"/>
      <w:pgSz w:w="11906" w:h="16838"/>
      <w:pgMar w:left="1605" w:right="151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FreeSans">
    <w:charset w:val="01"/>
    <w:family w:val="swiss"/>
    <w:pitch w:val="default"/>
  </w:font>
  <w:font w:name="Liberation Sans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55a0f"/>
    <w:rPr>
      <w:rFonts w:ascii="Lucida Grande" w:hAnsi="Lucida Grande" w:cs="Lucida Grande"/>
      <w:sz w:val="18"/>
      <w:szCs w:val="18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gener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5a0f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90a8e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2dd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Application>LibreOffice/6.4.7.2$Linux_X86_64 LibreOffice_project/40$Build-2</Application>
  <Pages>1</Pages>
  <Words>213</Words>
  <Characters>1082</Characters>
  <CharactersWithSpaces>1288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2019-07-10T08:52:00Z</dcterms:created>
  <dc:creator>jaime perez-solero garcia-carreño</dc:creator>
  <dc:description/>
  <dc:language>es-ES</dc:language>
  <cp:lastModifiedBy>Gonzalo </cp:lastModifiedBy>
  <cp:lastPrinted>2020-05-26T12:16:35Z</cp:lastPrinted>
  <dcterms:modified xsi:type="dcterms:W3CDTF">2022-09-28T20:03:55Z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