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4"/>
          <w:szCs w:val="24"/>
          <w:color w:val="auto"/>
        </w:rPr>
      </w:pPr>
    </w:p>
    <w:tbl>
      <w:tblPr>
        <w:tblLayout w:type="fixed"/>
        <w:tblInd w:w="40" w:type="dxa"/>
        <w:tblCellMar>
          <w:top w:w="0" w:type="dxa"/>
          <w:left w:w="0" w:type="dxa"/>
          <w:bottom w:w="0" w:type="dxa"/>
          <w:right w:w="0" w:type="dxa"/>
        </w:tblCellMar>
      </w:tblPr>
      <w:tr>
        <w:trPr>
          <w:trHeight w:val="743"/>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21/03/2023</w:t>
              </w:r>
            </w:hyperlink>
          </w:p>
        </w:tc>
        <w:tc>
          <w:tcPr>
            <w:tcW w:w="160" w:type="dxa"/>
            <w:vAlign w:val="bottom"/>
            <w:textDirection w:val="btLr"/>
          </w:tcPr>
          <w:p>
            <w:pPr>
              <w:spacing w:after="0"/>
              <w:rPr>
                <w:rFonts w:ascii="Tahoma" w:cs="Tahoma" w:eastAsia="Tahoma" w:hAnsi="Tahoma"/>
                <w:sz w:val="12"/>
                <w:szCs w:val="12"/>
                <w:color w:val="17365D"/>
                <w:w w:val="98"/>
              </w:rPr>
            </w:pPr>
            <w:hyperlink r:id="rId12">
              <w:r>
                <w:rPr>
                  <w:rFonts w:ascii="Tahoma" w:cs="Tahoma" w:eastAsia="Tahoma" w:hAnsi="Tahoma"/>
                  <w:sz w:val="12"/>
                  <w:szCs w:val="12"/>
                  <w:color w:val="17365D"/>
                  <w:w w:val="98"/>
                </w:rPr>
                <w:t>40628 / 2023</w:t>
              </w:r>
            </w:hyperlink>
          </w:p>
        </w:tc>
      </w:tr>
      <w:tr>
        <w:trPr>
          <w:trHeight w:val="600"/>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53"/>
        </w:trPr>
        <w:tc>
          <w:tcPr>
            <w:tcW w:w="120" w:type="dxa"/>
            <w:vAlign w:val="bottom"/>
          </w:tcPr>
          <w:p>
            <w:pPr>
              <w:spacing w:after="0"/>
              <w:rPr>
                <w:sz w:val="13"/>
                <w:szCs w:val="13"/>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00000A"/>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-1012825</wp:posOffset>
            </wp:positionV>
            <wp:extent cx="6346825" cy="101161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extLst>
                    </a:blip>
                    <a:srcRect/>
                    <a:stretch>
                      <a:fillRect/>
                    </a:stretch>
                  </pic:blipFill>
                  <pic:spPr bwMode="auto">
                    <a:xfrm>
                      <a:off x="0" y="0"/>
                      <a:ext cx="6346825" cy="10116185"/>
                    </a:xfrm>
                    <a:prstGeom prst="rect">
                      <a:avLst/>
                    </a:prstGeom>
                    <a:noFill/>
                  </pic:spPr>
                </pic:pic>
              </a:graphicData>
            </a:graphic>
          </wp:anchor>
        </w:drawing>
      </w:r>
    </w:p>
    <w:p>
      <w:pPr>
        <w:spacing w:after="0" w:line="297" w:lineRule="exact"/>
        <w:rPr>
          <w:sz w:val="20"/>
          <w:szCs w:val="20"/>
          <w:color w:val="auto"/>
        </w:rPr>
      </w:pPr>
    </w:p>
    <w:p>
      <w:pPr>
        <w:jc w:val="both"/>
        <w:ind w:right="520"/>
        <w:spacing w:after="0" w:line="236" w:lineRule="auto"/>
        <w:rPr>
          <w:sz w:val="20"/>
          <w:szCs w:val="20"/>
          <w:color w:val="auto"/>
        </w:rPr>
      </w:pPr>
      <w:r>
        <w:rPr>
          <w:rFonts w:ascii="Arial" w:cs="Arial" w:eastAsia="Arial" w:hAnsi="Arial"/>
          <w:sz w:val="22"/>
          <w:szCs w:val="22"/>
          <w:color w:val="00000A"/>
        </w:rPr>
        <w:t>MOCIÓN QUE PRESENTA AURELIA GARCÍA MUÑOZ, PORTAVOZ DEL GRUPO MUNICIPAL UNIDAS PODEMOS IZQUIERDA UNIDA-VERDES EQUO, DEL EXCMO. AYUNTAMIENTO DE CARTAGENA, SOBRE VACACIONES EN PAZ, SONRISAS SAHARAUIS</w:t>
      </w:r>
    </w:p>
    <w:p>
      <w:pPr>
        <w:spacing w:after="0" w:line="270" w:lineRule="exact"/>
        <w:rPr>
          <w:sz w:val="20"/>
          <w:szCs w:val="20"/>
          <w:color w:val="auto"/>
        </w:rPr>
      </w:pPr>
    </w:p>
    <w:p>
      <w:pPr>
        <w:spacing w:after="0"/>
        <w:rPr>
          <w:sz w:val="20"/>
          <w:szCs w:val="20"/>
          <w:color w:val="auto"/>
        </w:rPr>
      </w:pPr>
      <w:r>
        <w:rPr>
          <w:rFonts w:ascii="Arial" w:cs="Arial" w:eastAsia="Arial" w:hAnsi="Arial"/>
          <w:sz w:val="22"/>
          <w:szCs w:val="22"/>
          <w:color w:val="00000A"/>
        </w:rPr>
        <w:t>EXPOSICIÓN DE MOTIVOS</w:t>
      </w:r>
    </w:p>
    <w:p>
      <w:pPr>
        <w:spacing w:after="0" w:line="308" w:lineRule="exact"/>
        <w:rPr>
          <w:sz w:val="20"/>
          <w:szCs w:val="20"/>
          <w:color w:val="auto"/>
        </w:rPr>
      </w:pPr>
    </w:p>
    <w:p>
      <w:pPr>
        <w:jc w:val="both"/>
        <w:ind w:right="540"/>
        <w:spacing w:after="0" w:line="232" w:lineRule="auto"/>
        <w:rPr>
          <w:sz w:val="20"/>
          <w:szCs w:val="20"/>
          <w:color w:val="auto"/>
        </w:rPr>
      </w:pPr>
      <w:r>
        <w:rPr>
          <w:rFonts w:ascii="Arial" w:cs="Arial" w:eastAsia="Arial" w:hAnsi="Arial"/>
          <w:sz w:val="22"/>
          <w:szCs w:val="22"/>
          <w:color w:val="00000A"/>
        </w:rPr>
        <w:t>Hace aproximadamente un año desde este grupo municipal trasladó a Alcaldía solicitud de reunión, que nos reclamaban desde la Asociación Sonrisas Saharauis, con este Ayuntamiento.</w:t>
      </w:r>
    </w:p>
    <w:p>
      <w:pPr>
        <w:spacing w:after="0" w:line="309" w:lineRule="exact"/>
        <w:rPr>
          <w:sz w:val="20"/>
          <w:szCs w:val="20"/>
          <w:color w:val="auto"/>
        </w:rPr>
      </w:pPr>
    </w:p>
    <w:p>
      <w:pPr>
        <w:jc w:val="both"/>
        <w:ind w:right="540"/>
        <w:spacing w:after="0" w:line="232" w:lineRule="auto"/>
        <w:rPr>
          <w:sz w:val="20"/>
          <w:szCs w:val="20"/>
          <w:color w:val="auto"/>
        </w:rPr>
      </w:pPr>
      <w:r>
        <w:rPr>
          <w:rFonts w:ascii="Arial" w:cs="Arial" w:eastAsia="Arial" w:hAnsi="Arial"/>
          <w:sz w:val="22"/>
          <w:szCs w:val="22"/>
          <w:color w:val="00000A"/>
        </w:rPr>
        <w:t>Nos piden desde este colectivo que traslademos la gratitud por la empatía y atención que recibieron, aunque finalmente no pudo realizarse el programa de Vacaciones en Paz por cuestión de tiempos y plazos para las ayudas.</w:t>
      </w:r>
    </w:p>
    <w:p>
      <w:pPr>
        <w:spacing w:after="0" w:line="309" w:lineRule="exact"/>
        <w:rPr>
          <w:sz w:val="20"/>
          <w:szCs w:val="20"/>
          <w:color w:val="auto"/>
        </w:rPr>
      </w:pPr>
    </w:p>
    <w:p>
      <w:pPr>
        <w:jc w:val="both"/>
        <w:ind w:right="540"/>
        <w:spacing w:after="0"/>
        <w:rPr>
          <w:sz w:val="20"/>
          <w:szCs w:val="20"/>
          <w:color w:val="auto"/>
        </w:rPr>
      </w:pPr>
      <w:r>
        <w:rPr>
          <w:rFonts w:ascii="Arial" w:cs="Arial" w:eastAsia="Arial" w:hAnsi="Arial"/>
          <w:sz w:val="22"/>
          <w:szCs w:val="22"/>
          <w:color w:val="auto"/>
        </w:rPr>
        <w:t>Sonrisa Saharaui – Región de Murcia (Asociación de Solidaridad y Cooperación con el Pueblo Saharaui) se constituye en la Región de Murcia con los siguientes fines:</w:t>
      </w:r>
    </w:p>
    <w:p>
      <w:pPr>
        <w:spacing w:after="0" w:line="200" w:lineRule="exact"/>
        <w:rPr>
          <w:sz w:val="20"/>
          <w:szCs w:val="20"/>
          <w:color w:val="auto"/>
        </w:rPr>
      </w:pPr>
    </w:p>
    <w:p>
      <w:pPr>
        <w:spacing w:after="0" w:line="339" w:lineRule="exact"/>
        <w:rPr>
          <w:sz w:val="20"/>
          <w:szCs w:val="20"/>
          <w:color w:val="auto"/>
        </w:rPr>
      </w:pPr>
    </w:p>
    <w:p>
      <w:pPr>
        <w:ind w:left="740" w:right="1040"/>
        <w:spacing w:after="0" w:line="260" w:lineRule="auto"/>
        <w:rPr>
          <w:sz w:val="20"/>
          <w:szCs w:val="20"/>
          <w:color w:val="auto"/>
        </w:rPr>
      </w:pPr>
      <w:r>
        <w:rPr>
          <w:rFonts w:ascii="Arial" w:cs="Arial" w:eastAsia="Arial" w:hAnsi="Arial"/>
          <w:sz w:val="22"/>
          <w:szCs w:val="22"/>
          <w:color w:val="auto"/>
        </w:rPr>
        <w:t>1.Prestar ayuda humanitaria en los ámbitos económico, social, sanitario y cultural, a la población refugiada saharaui.</w:t>
      </w:r>
    </w:p>
    <w:p>
      <w:pPr>
        <w:spacing w:after="0" w:line="77" w:lineRule="exact"/>
        <w:rPr>
          <w:sz w:val="20"/>
          <w:szCs w:val="20"/>
          <w:color w:val="auto"/>
        </w:rPr>
      </w:pPr>
    </w:p>
    <w:p>
      <w:pPr>
        <w:ind w:left="740" w:right="1040"/>
        <w:spacing w:after="0" w:line="260" w:lineRule="auto"/>
        <w:rPr>
          <w:sz w:val="20"/>
          <w:szCs w:val="20"/>
          <w:color w:val="auto"/>
        </w:rPr>
      </w:pPr>
      <w:r>
        <w:rPr>
          <w:rFonts w:ascii="Arial" w:cs="Arial" w:eastAsia="Arial" w:hAnsi="Arial"/>
          <w:sz w:val="22"/>
          <w:szCs w:val="22"/>
          <w:color w:val="auto"/>
        </w:rPr>
        <w:t>2.Informar y sensibilizar a la opinión pública sobre la situación dramática que atraviesa el pueblo saharaui.</w:t>
      </w:r>
    </w:p>
    <w:p>
      <w:pPr>
        <w:spacing w:after="0" w:line="77" w:lineRule="exact"/>
        <w:rPr>
          <w:sz w:val="20"/>
          <w:szCs w:val="20"/>
          <w:color w:val="auto"/>
        </w:rPr>
      </w:pPr>
    </w:p>
    <w:p>
      <w:pPr>
        <w:ind w:left="740" w:right="1040"/>
        <w:spacing w:after="0" w:line="260" w:lineRule="auto"/>
        <w:rPr>
          <w:sz w:val="20"/>
          <w:szCs w:val="20"/>
          <w:color w:val="auto"/>
        </w:rPr>
      </w:pPr>
      <w:r>
        <w:rPr>
          <w:rFonts w:ascii="Arial" w:cs="Arial" w:eastAsia="Arial" w:hAnsi="Arial"/>
          <w:sz w:val="22"/>
          <w:szCs w:val="22"/>
          <w:color w:val="auto"/>
        </w:rPr>
        <w:t>3.Fomentar la participación de familias en los programas de acogimiento, tanto estival como de estudios.</w:t>
      </w:r>
    </w:p>
    <w:p>
      <w:pPr>
        <w:spacing w:after="0" w:line="77" w:lineRule="exact"/>
        <w:rPr>
          <w:sz w:val="20"/>
          <w:szCs w:val="20"/>
          <w:color w:val="auto"/>
        </w:rPr>
      </w:pPr>
    </w:p>
    <w:p>
      <w:pPr>
        <w:ind w:left="740" w:right="1040"/>
        <w:spacing w:after="0" w:line="260" w:lineRule="auto"/>
        <w:rPr>
          <w:sz w:val="20"/>
          <w:szCs w:val="20"/>
          <w:color w:val="auto"/>
        </w:rPr>
      </w:pPr>
      <w:r>
        <w:rPr>
          <w:rFonts w:ascii="Arial" w:cs="Arial" w:eastAsia="Arial" w:hAnsi="Arial"/>
          <w:sz w:val="22"/>
          <w:szCs w:val="22"/>
          <w:color w:val="auto"/>
        </w:rPr>
        <w:t>4.Cooperar con las asociaciones, federaciones y organismos nacionales e internacionales que persigan los fines anteriores.</w:t>
      </w:r>
    </w:p>
    <w:p>
      <w:pPr>
        <w:spacing w:after="0" w:line="200" w:lineRule="exact"/>
        <w:rPr>
          <w:sz w:val="20"/>
          <w:szCs w:val="20"/>
          <w:color w:val="auto"/>
        </w:rPr>
      </w:pPr>
    </w:p>
    <w:p>
      <w:pPr>
        <w:spacing w:after="0" w:line="399" w:lineRule="exact"/>
        <w:rPr>
          <w:sz w:val="20"/>
          <w:szCs w:val="20"/>
          <w:color w:val="auto"/>
        </w:rPr>
      </w:pPr>
    </w:p>
    <w:p>
      <w:pPr>
        <w:jc w:val="both"/>
        <w:ind w:right="520"/>
        <w:spacing w:after="0" w:line="242" w:lineRule="auto"/>
        <w:rPr>
          <w:sz w:val="20"/>
          <w:szCs w:val="20"/>
          <w:color w:val="auto"/>
        </w:rPr>
      </w:pPr>
      <w:r>
        <w:rPr>
          <w:rFonts w:ascii="Arial" w:cs="Arial" w:eastAsia="Arial" w:hAnsi="Arial"/>
          <w:sz w:val="22"/>
          <w:szCs w:val="22"/>
          <w:color w:val="191C30"/>
        </w:rPr>
        <w:t>Los largos y extremos meses de verano en el Sáhara se hacen todavía más difíciles para los miles de niños que viven en los campamentos, por ello desde la Asociación Sonrisas Saharauis quieren ayudar a paliar esa situación.</w:t>
      </w:r>
      <w:r>
        <w:rPr>
          <w:rFonts w:ascii="Arial" w:cs="Arial" w:eastAsia="Arial" w:hAnsi="Arial"/>
          <w:sz w:val="22"/>
          <w:szCs w:val="22"/>
          <w:color w:val="000000"/>
        </w:rPr>
        <w:t xml:space="preserve"> Desde que</w:t>
      </w:r>
      <w:r>
        <w:rPr>
          <w:rFonts w:ascii="Arial" w:cs="Arial" w:eastAsia="Arial" w:hAnsi="Arial"/>
          <w:sz w:val="22"/>
          <w:szCs w:val="22"/>
          <w:color w:val="191C30"/>
        </w:rPr>
        <w:t xml:space="preserve"> </w:t>
      </w:r>
      <w:r>
        <w:rPr>
          <w:rFonts w:ascii="Arial" w:cs="Arial" w:eastAsia="Arial" w:hAnsi="Arial"/>
          <w:sz w:val="22"/>
          <w:szCs w:val="22"/>
          <w:color w:val="000000"/>
        </w:rPr>
        <w:t>comenzó a celebrarse en el año 1979, más de 2.500 niños han participado en ‘Vacaciones en Paz’, un programa cuyo objetivo prioritario de la acogida y reforzar el estado de salud de estos niños que, en los campos de refugiados de Tindouf, reciben una alimentación básica, por lo que pueden presentar déficits nutricionales, así como evitarles los duros veranos a más de 50 grados que se viven en el Sáhara, sin medios y en pleno desierto.</w:t>
      </w:r>
    </w:p>
    <w:p>
      <w:pPr>
        <w:spacing w:after="0" w:line="311" w:lineRule="exact"/>
        <w:rPr>
          <w:sz w:val="20"/>
          <w:szCs w:val="20"/>
          <w:color w:val="auto"/>
        </w:rPr>
      </w:pPr>
    </w:p>
    <w:p>
      <w:pPr>
        <w:jc w:val="both"/>
        <w:ind w:right="540"/>
        <w:spacing w:after="0" w:line="232" w:lineRule="auto"/>
        <w:rPr>
          <w:sz w:val="20"/>
          <w:szCs w:val="20"/>
          <w:color w:val="auto"/>
        </w:rPr>
      </w:pPr>
      <w:r>
        <w:rPr>
          <w:rFonts w:ascii="Arial" w:cs="Arial" w:eastAsia="Arial" w:hAnsi="Arial"/>
          <w:sz w:val="22"/>
          <w:szCs w:val="22"/>
          <w:color w:val="auto"/>
        </w:rPr>
        <w:t>Gracias a la iniciativa ‘Vacaciones en Paz’, los pequeños, de entre 9 y 13 años, tienen programadas revisiones dentales, oculares y auditivas y acceso a los pediatras del Servicio Murciano de Salud. Al mismo tiempo, los niños adquieren</w:t>
      </w:r>
    </w:p>
    <w:p>
      <w:pPr>
        <w:spacing w:after="0" w:line="200" w:lineRule="exact"/>
        <w:rPr>
          <w:sz w:val="20"/>
          <w:szCs w:val="20"/>
          <w:color w:val="auto"/>
        </w:rPr>
      </w:pPr>
    </w:p>
    <w:p>
      <w:pPr>
        <w:spacing w:after="0" w:line="238" w:lineRule="exact"/>
        <w:rPr>
          <w:sz w:val="20"/>
          <w:szCs w:val="20"/>
          <w:color w:val="auto"/>
        </w:rPr>
      </w:pPr>
    </w:p>
    <w:p>
      <w:pPr>
        <w:ind w:left="1840"/>
        <w:spacing w:after="0"/>
        <w:rPr>
          <w:sz w:val="20"/>
          <w:szCs w:val="20"/>
          <w:color w:val="auto"/>
        </w:rPr>
      </w:pPr>
      <w:r>
        <w:rPr>
          <w:rFonts w:ascii="Arial" w:cs="Arial" w:eastAsia="Arial" w:hAnsi="Arial"/>
          <w:sz w:val="18"/>
          <w:szCs w:val="18"/>
          <w:color w:val="00000A"/>
        </w:rPr>
        <w:t>Excma. Sra. Alcaldesa del Ayuntamiento de Cartagena</w:t>
      </w:r>
    </w:p>
    <w:p>
      <w:pPr>
        <w:spacing w:after="0" w:line="15" w:lineRule="exact"/>
        <w:rPr>
          <w:sz w:val="20"/>
          <w:szCs w:val="20"/>
          <w:color w:val="auto"/>
        </w:rPr>
      </w:pPr>
    </w:p>
    <w:p>
      <w:pPr>
        <w:ind w:left="7860"/>
        <w:spacing w:after="0"/>
        <w:rPr>
          <w:sz w:val="20"/>
          <w:szCs w:val="20"/>
          <w:color w:val="auto"/>
        </w:rPr>
      </w:pPr>
      <w:r>
        <w:rPr>
          <w:rFonts w:ascii="Calibri" w:cs="Calibri" w:eastAsia="Calibri" w:hAnsi="Calibri"/>
          <w:sz w:val="20"/>
          <w:szCs w:val="20"/>
          <w:color w:val="00000A"/>
        </w:rPr>
        <w:t>1</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180"/>
        <w:spacing w:after="0"/>
        <w:tabs>
          <w:tab w:leader="none" w:pos="474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KLLQ KZ3J QQ3T XMME</w:t>
        </w:r>
      </w:hyperlink>
    </w:p>
    <w:p>
      <w:pPr>
        <w:spacing w:after="0" w:line="273" w:lineRule="exact"/>
        <w:rPr>
          <w:sz w:val="20"/>
          <w:szCs w:val="20"/>
          <w:color w:val="auto"/>
        </w:rPr>
      </w:pPr>
    </w:p>
    <w:p>
      <w:pPr>
        <w:ind w:left="180"/>
        <w:spacing w:after="0"/>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2023-03-21 Moción Sonrisas Saharauis</w:t>
        </w:r>
      </w:hyperlink>
    </w:p>
    <w:p>
      <w:pPr>
        <w:spacing w:after="0" w:line="248"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1 de 2</w:t>
        </w:r>
      </w:hyperlink>
    </w:p>
    <w:p>
      <w:pPr>
        <w:sectPr>
          <w:pgSz w:w="11900" w:h="16840" w:orient="portrait"/>
          <w:cols w:equalWidth="0" w:num="2">
            <w:col w:w="980" w:space="720"/>
            <w:col w:w="8980"/>
          </w:cols>
          <w:pgMar w:left="760" w:top="1358" w:right="460" w:bottom="0" w:gutter="0" w:footer="0" w:header="0"/>
        </w:sectPr>
      </w:pPr>
    </w:p>
    <w:bookmarkStart w:id="1" w:name="page2"/>
    <w:bookmarkEnd w:id="1"/>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0"/>
          <w:szCs w:val="20"/>
          <w:color w:val="auto"/>
        </w:rPr>
      </w:pPr>
    </w:p>
    <w:tbl>
      <w:tblPr>
        <w:tblLayout w:type="fixed"/>
        <w:tblInd w:w="40" w:type="dxa"/>
        <w:tblCellMar>
          <w:top w:w="0" w:type="dxa"/>
          <w:left w:w="0" w:type="dxa"/>
          <w:bottom w:w="0" w:type="dxa"/>
          <w:right w:w="0" w:type="dxa"/>
        </w:tblCellMar>
      </w:tblPr>
      <w:tr>
        <w:trPr>
          <w:trHeight w:val="743"/>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21/03/2023</w:t>
              </w:r>
            </w:hyperlink>
          </w:p>
        </w:tc>
        <w:tc>
          <w:tcPr>
            <w:tcW w:w="160" w:type="dxa"/>
            <w:vAlign w:val="bottom"/>
            <w:textDirection w:val="btLr"/>
          </w:tcPr>
          <w:p>
            <w:pPr>
              <w:spacing w:after="0"/>
              <w:rPr>
                <w:rFonts w:ascii="Tahoma" w:cs="Tahoma" w:eastAsia="Tahoma" w:hAnsi="Tahoma"/>
                <w:sz w:val="12"/>
                <w:szCs w:val="12"/>
                <w:color w:val="17365D"/>
                <w:w w:val="98"/>
              </w:rPr>
            </w:pPr>
            <w:hyperlink r:id="rId12">
              <w:r>
                <w:rPr>
                  <w:rFonts w:ascii="Tahoma" w:cs="Tahoma" w:eastAsia="Tahoma" w:hAnsi="Tahoma"/>
                  <w:sz w:val="12"/>
                  <w:szCs w:val="12"/>
                  <w:color w:val="17365D"/>
                  <w:w w:val="98"/>
                </w:rPr>
                <w:t>40628 / 2023</w:t>
              </w:r>
            </w:hyperlink>
          </w:p>
        </w:tc>
      </w:tr>
      <w:tr>
        <w:trPr>
          <w:trHeight w:val="600"/>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53"/>
        </w:trPr>
        <w:tc>
          <w:tcPr>
            <w:tcW w:w="120" w:type="dxa"/>
            <w:vAlign w:val="bottom"/>
          </w:tcPr>
          <w:p>
            <w:pPr>
              <w:spacing w:after="0"/>
              <w:rPr>
                <w:sz w:val="13"/>
                <w:szCs w:val="13"/>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00000A"/>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-1012825</wp:posOffset>
            </wp:positionV>
            <wp:extent cx="6346825" cy="101161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extLst>
                    </a:blip>
                    <a:srcRect/>
                    <a:stretch>
                      <a:fillRect/>
                    </a:stretch>
                  </pic:blipFill>
                  <pic:spPr bwMode="auto">
                    <a:xfrm>
                      <a:off x="0" y="0"/>
                      <a:ext cx="6346825" cy="10116185"/>
                    </a:xfrm>
                    <a:prstGeom prst="rect">
                      <a:avLst/>
                    </a:prstGeom>
                    <a:noFill/>
                  </pic:spPr>
                </pic:pic>
              </a:graphicData>
            </a:graphic>
          </wp:anchor>
        </w:drawing>
      </w:r>
    </w:p>
    <w:p>
      <w:pPr>
        <w:spacing w:after="0" w:line="297" w:lineRule="exact"/>
        <w:rPr>
          <w:sz w:val="20"/>
          <w:szCs w:val="20"/>
          <w:color w:val="auto"/>
        </w:rPr>
      </w:pPr>
    </w:p>
    <w:p>
      <w:pPr>
        <w:jc w:val="both"/>
        <w:ind w:right="540"/>
        <w:spacing w:after="0" w:line="225" w:lineRule="auto"/>
        <w:rPr>
          <w:sz w:val="20"/>
          <w:szCs w:val="20"/>
          <w:color w:val="auto"/>
        </w:rPr>
      </w:pPr>
      <w:r>
        <w:rPr>
          <w:rFonts w:ascii="Arial" w:cs="Arial" w:eastAsia="Arial" w:hAnsi="Arial"/>
          <w:sz w:val="22"/>
          <w:szCs w:val="22"/>
          <w:color w:val="auto"/>
        </w:rPr>
        <w:t>nuevos conocimientos y aprenden castellano. Además, el programa contribuye a mejorar la sensibilización sobre la situación del pueblo saharaui.</w:t>
      </w:r>
    </w:p>
    <w:p>
      <w:pPr>
        <w:spacing w:after="0" w:line="308" w:lineRule="exact"/>
        <w:rPr>
          <w:sz w:val="20"/>
          <w:szCs w:val="20"/>
          <w:color w:val="auto"/>
        </w:rPr>
      </w:pPr>
    </w:p>
    <w:p>
      <w:pPr>
        <w:jc w:val="both"/>
        <w:ind w:right="520"/>
        <w:spacing w:after="0" w:line="238" w:lineRule="auto"/>
        <w:rPr>
          <w:sz w:val="20"/>
          <w:szCs w:val="20"/>
          <w:color w:val="auto"/>
        </w:rPr>
      </w:pPr>
      <w:r>
        <w:rPr>
          <w:rFonts w:ascii="Arial" w:cs="Arial" w:eastAsia="Arial" w:hAnsi="Arial"/>
          <w:sz w:val="22"/>
          <w:szCs w:val="22"/>
          <w:color w:val="auto"/>
        </w:rPr>
        <w:t>Desde Sonrisas Saharauis nos solicitan implicación del Ayuntamiento para dar a conocer este programa, y el resto de actuaciones solidarias que realizan. Otros municipios de la Región sí están más implicados y disponen de recursos para estos programas de cooperación, por ejemplo, en Molina de Segura, Torre Pacheco y Murcia.</w:t>
      </w:r>
    </w:p>
    <w:p>
      <w:pPr>
        <w:spacing w:after="0" w:line="310" w:lineRule="exact"/>
        <w:rPr>
          <w:sz w:val="20"/>
          <w:szCs w:val="20"/>
          <w:color w:val="auto"/>
        </w:rPr>
      </w:pPr>
    </w:p>
    <w:p>
      <w:pPr>
        <w:jc w:val="both"/>
        <w:ind w:right="540"/>
        <w:spacing w:after="0" w:line="225" w:lineRule="auto"/>
        <w:rPr>
          <w:sz w:val="20"/>
          <w:szCs w:val="20"/>
          <w:color w:val="auto"/>
        </w:rPr>
      </w:pPr>
      <w:r>
        <w:rPr>
          <w:rFonts w:ascii="Arial" w:cs="Arial" w:eastAsia="Arial" w:hAnsi="Arial"/>
          <w:sz w:val="22"/>
          <w:szCs w:val="22"/>
          <w:color w:val="auto"/>
        </w:rPr>
        <w:t>Como dato, el pasado año 2022, se acogieron a través de este programa, 23 niños y niñas saharauis en la Región de Murcia.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both"/>
        <w:ind w:right="540"/>
        <w:spacing w:after="0" w:line="225" w:lineRule="auto"/>
        <w:rPr>
          <w:sz w:val="20"/>
          <w:szCs w:val="20"/>
          <w:color w:val="auto"/>
        </w:rPr>
      </w:pPr>
      <w:r>
        <w:rPr>
          <w:rFonts w:ascii="Arial" w:cs="Arial" w:eastAsia="Arial" w:hAnsi="Arial"/>
          <w:sz w:val="22"/>
          <w:szCs w:val="22"/>
          <w:color w:val="auto"/>
        </w:rPr>
        <w:t>Por todo lo expuesto presento para su debate y aprobación la siguiente propuesta de MOCIÓN:</w:t>
      </w:r>
    </w:p>
    <w:p>
      <w:pPr>
        <w:spacing w:after="0" w:line="338" w:lineRule="exact"/>
        <w:rPr>
          <w:sz w:val="20"/>
          <w:szCs w:val="20"/>
          <w:color w:val="auto"/>
        </w:rPr>
      </w:pPr>
    </w:p>
    <w:p>
      <w:pPr>
        <w:jc w:val="both"/>
        <w:ind w:right="540"/>
        <w:spacing w:after="0" w:line="236" w:lineRule="auto"/>
        <w:rPr>
          <w:sz w:val="20"/>
          <w:szCs w:val="20"/>
          <w:color w:val="auto"/>
        </w:rPr>
      </w:pPr>
      <w:r>
        <w:rPr>
          <w:rFonts w:ascii="Arial" w:cs="Arial" w:eastAsia="Arial" w:hAnsi="Arial"/>
          <w:sz w:val="22"/>
          <w:szCs w:val="22"/>
          <w:color w:val="auto"/>
        </w:rPr>
        <w:t>Qué el Pleno del Ayuntamiento de Cartagena inste al Gobierno Local a reunirse con la Asociación Sonrisas Saharauis para concretar el apoyo a este colectivo y al mismo tiempo se elabore una campaña de concienciación para dar a conocer los programas de ayuda y cooperación realizados por esta asociación.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2280"/>
        <w:spacing w:after="0"/>
        <w:rPr>
          <w:sz w:val="20"/>
          <w:szCs w:val="20"/>
          <w:color w:val="auto"/>
        </w:rPr>
      </w:pPr>
      <w:r>
        <w:rPr>
          <w:rFonts w:ascii="Arial" w:cs="Arial" w:eastAsia="Arial" w:hAnsi="Arial"/>
          <w:sz w:val="22"/>
          <w:szCs w:val="22"/>
          <w:color w:val="00000A"/>
        </w:rPr>
        <w:t>En Cartagena, a 21 de marzo de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2820"/>
        <w:spacing w:after="0"/>
        <w:rPr>
          <w:sz w:val="20"/>
          <w:szCs w:val="20"/>
          <w:color w:val="auto"/>
        </w:rPr>
      </w:pPr>
      <w:r>
        <w:rPr>
          <w:rFonts w:ascii="Arial" w:cs="Arial" w:eastAsia="Arial" w:hAnsi="Arial"/>
          <w:sz w:val="22"/>
          <w:szCs w:val="22"/>
          <w:color w:val="00000A"/>
        </w:rPr>
        <w:t>Fdo.: Aurelia García Muñoz</w:t>
      </w:r>
    </w:p>
    <w:p>
      <w:pPr>
        <w:spacing w:after="0" w:line="227" w:lineRule="exact"/>
        <w:rPr>
          <w:sz w:val="20"/>
          <w:szCs w:val="20"/>
          <w:color w:val="auto"/>
        </w:rPr>
      </w:pPr>
    </w:p>
    <w:p>
      <w:pPr>
        <w:ind w:left="2600"/>
        <w:spacing w:after="0"/>
        <w:rPr>
          <w:sz w:val="20"/>
          <w:szCs w:val="20"/>
          <w:color w:val="auto"/>
        </w:rPr>
      </w:pPr>
      <w:r>
        <w:rPr>
          <w:rFonts w:ascii="Arial" w:cs="Arial" w:eastAsia="Arial" w:hAnsi="Arial"/>
          <w:sz w:val="22"/>
          <w:szCs w:val="22"/>
          <w:color w:val="00000A"/>
        </w:rPr>
        <w:t>Portavoz del Grupo Municipal</w:t>
      </w:r>
    </w:p>
    <w:p>
      <w:pPr>
        <w:spacing w:after="0" w:line="229" w:lineRule="exact"/>
        <w:rPr>
          <w:sz w:val="20"/>
          <w:szCs w:val="20"/>
          <w:color w:val="auto"/>
        </w:rPr>
      </w:pPr>
    </w:p>
    <w:p>
      <w:pPr>
        <w:ind w:left="1700"/>
        <w:spacing w:after="0"/>
        <w:rPr>
          <w:sz w:val="20"/>
          <w:szCs w:val="20"/>
          <w:color w:val="auto"/>
        </w:rPr>
      </w:pPr>
      <w:r>
        <w:rPr>
          <w:rFonts w:ascii="Arial" w:cs="Arial" w:eastAsia="Arial" w:hAnsi="Arial"/>
          <w:sz w:val="22"/>
          <w:szCs w:val="22"/>
          <w:color w:val="00000A"/>
        </w:rPr>
        <w:t>Unidas Podemos Izquierda Unida-Verdes Equo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1840"/>
        <w:spacing w:after="0"/>
        <w:rPr>
          <w:sz w:val="20"/>
          <w:szCs w:val="20"/>
          <w:color w:val="auto"/>
        </w:rPr>
      </w:pPr>
      <w:r>
        <w:rPr>
          <w:rFonts w:ascii="Arial" w:cs="Arial" w:eastAsia="Arial" w:hAnsi="Arial"/>
          <w:sz w:val="18"/>
          <w:szCs w:val="18"/>
          <w:color w:val="00000A"/>
        </w:rPr>
        <w:t>Excma. Sra. Alcaldesa del Ayuntamiento de Cartagena</w:t>
      </w:r>
    </w:p>
    <w:p>
      <w:pPr>
        <w:spacing w:after="0" w:line="15" w:lineRule="exact"/>
        <w:rPr>
          <w:sz w:val="20"/>
          <w:szCs w:val="20"/>
          <w:color w:val="auto"/>
        </w:rPr>
      </w:pPr>
    </w:p>
    <w:p>
      <w:pPr>
        <w:ind w:left="7860"/>
        <w:spacing w:after="0"/>
        <w:rPr>
          <w:sz w:val="20"/>
          <w:szCs w:val="20"/>
          <w:color w:val="auto"/>
        </w:rPr>
      </w:pPr>
      <w:r>
        <w:rPr>
          <w:rFonts w:ascii="Calibri" w:cs="Calibri" w:eastAsia="Calibri" w:hAnsi="Calibri"/>
          <w:sz w:val="20"/>
          <w:szCs w:val="20"/>
          <w:color w:val="00000A"/>
        </w:rPr>
        <w:t>2</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180"/>
        <w:spacing w:after="0"/>
        <w:tabs>
          <w:tab w:leader="none" w:pos="474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KLLQ KZ3J QQ3T XMME</w:t>
        </w:r>
      </w:hyperlink>
    </w:p>
    <w:p>
      <w:pPr>
        <w:spacing w:after="0" w:line="273" w:lineRule="exact"/>
        <w:rPr>
          <w:sz w:val="20"/>
          <w:szCs w:val="20"/>
          <w:color w:val="auto"/>
        </w:rPr>
      </w:pPr>
    </w:p>
    <w:p>
      <w:pPr>
        <w:ind w:left="180"/>
        <w:spacing w:after="0"/>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2023-03-21 Moción Sonrisas Saharauis</w:t>
        </w:r>
      </w:hyperlink>
    </w:p>
    <w:p>
      <w:pPr>
        <w:spacing w:after="0" w:line="248"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2 de 2</w:t>
        </w:r>
      </w:hyperlink>
    </w:p>
    <w:sectPr>
      <w:pgSz w:w="11900" w:h="16840" w:orient="portrait"/>
      <w:cols w:equalWidth="0" w:num="2">
        <w:col w:w="980" w:space="720"/>
        <w:col w:w="8980"/>
      </w:cols>
      <w:pgMar w:left="760" w:top="1358" w:right="460"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200101FF" w:csb1="2028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3" Type="http://schemas.openxmlformats.org/officeDocument/2006/relationships/image" Target="media/image1.png"/><Relationship Id="rId15" Type="http://schemas.openxmlformats.org/officeDocument/2006/relationships/image" Target="media/image2.png"/><Relationship Id="rId12" Type="http://schemas.openxmlformats.org/officeDocument/2006/relationships/hyperlink" Target="https://cartagena.sedipualba.es/firma/infofirmante.aspx?idFirmante=4396393&amp;csv=H2AAKLLQKZ3JQQ3TXMME" TargetMode="External"/><Relationship Id="rId14" Type="http://schemas.openxmlformats.org/officeDocument/2006/relationships/hyperlink" Target="https://cartagena.sedipualba.es/firma/infocsv.aspx?csv=H2AAKLLQKZ3JQQ3TXMME"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2023-03-27T12:52:33Z</dcterms:created>
  <dcterms:modified xsi:type="dcterms:W3CDTF">2023-03-27T12:52:33Z</dcterms:modified>
</cp:coreProperties>
</file>