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54" w:val="left" w:leader="none"/>
        </w:tabs>
        <w:spacing w:line="240" w:lineRule="auto"/>
        <w:ind w:left="149" w:right="0" w:firstLine="0"/>
        <w:rPr>
          <w:rFonts w:ascii="Times New Roman"/>
          <w:sz w:val="20"/>
        </w:rPr>
      </w:pPr>
      <w:r>
        <w:rPr>
          <w:rFonts w:ascii="Times New Roman"/>
          <w:position w:val="61"/>
          <w:sz w:val="20"/>
        </w:rPr>
        <w:drawing>
          <wp:inline distT="0" distB="0" distL="0" distR="0">
            <wp:extent cx="944334" cy="1345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334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"/>
          <w:sz w:val="20"/>
        </w:rPr>
      </w:r>
      <w:r>
        <w:rPr>
          <w:rFonts w:ascii="Times New Roman"/>
          <w:position w:val="6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41120" cy="134112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78" w:lineRule="auto" w:before="210"/>
        <w:jc w:val="both"/>
      </w:pPr>
      <w:r>
        <w:rPr/>
        <w:t>PREGUNTA QUE PRESENTA MARÍA DOLORES RUIZ ÁLVAREZ, CONCEJAL DEL</w:t>
      </w:r>
      <w:r>
        <w:rPr>
          <w:spacing w:val="1"/>
        </w:rPr>
        <w:t> </w:t>
      </w:r>
      <w:r>
        <w:rPr/>
        <w:t>GRUPO MUNICIPAL MC CARTAGENA, SOBRE “EL PROCEDIMIENTO JUDICIAL DE</w:t>
      </w:r>
      <w:r>
        <w:rPr>
          <w:spacing w:val="1"/>
        </w:rPr>
        <w:t> </w:t>
      </w:r>
      <w:r>
        <w:rPr/>
        <w:t>ANULACIÓN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URBANÍSTICO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INSTANCIAS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HANSA</w:t>
      </w:r>
      <w:r>
        <w:rPr>
          <w:spacing w:val="-16"/>
        </w:rPr>
        <w:t> </w:t>
      </w:r>
      <w:r>
        <w:rPr/>
        <w:t>URBANA”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Title"/>
        <w:ind w:left="3637" w:right="4845"/>
      </w:pPr>
      <w:r>
        <w:rPr/>
        <w:t>PREGUNTA</w:t>
      </w:r>
    </w:p>
    <w:p>
      <w:pPr>
        <w:pStyle w:val="BodyText"/>
        <w:spacing w:before="204"/>
        <w:ind w:left="113" w:right="108"/>
        <w:jc w:val="both"/>
      </w:pPr>
      <w:r>
        <w:rPr/>
        <w:t>¿En qué momento procesal se encuentra el Procedimiento Ordinario 163/2019 por el que</w:t>
      </w:r>
      <w:r>
        <w:rPr>
          <w:spacing w:val="1"/>
        </w:rPr>
        <w:t> </w:t>
      </w:r>
      <w:r>
        <w:rPr/>
        <w:t>Hansa Urbana, S.A insta la resolución del Convenio Urbanístico por el que se obligó a la</w:t>
      </w:r>
      <w:r>
        <w:rPr>
          <w:spacing w:val="1"/>
        </w:rPr>
        <w:t> </w:t>
      </w:r>
      <w:r>
        <w:rPr/>
        <w:t>rehabilitación</w:t>
      </w:r>
      <w:r>
        <w:rPr>
          <w:spacing w:val="-5"/>
        </w:rPr>
        <w:t> </w:t>
      </w:r>
      <w:r>
        <w:rPr/>
        <w:t>del</w:t>
      </w:r>
      <w:r>
        <w:rPr>
          <w:spacing w:val="4"/>
        </w:rPr>
        <w:t> </w:t>
      </w:r>
      <w:r>
        <w:rPr/>
        <w:t>Monasterio de San</w:t>
      </w:r>
      <w:r>
        <w:rPr>
          <w:spacing w:val="-4"/>
        </w:rPr>
        <w:t> </w:t>
      </w:r>
      <w:r>
        <w:rPr/>
        <w:t>Ginés de</w:t>
      </w:r>
      <w:r>
        <w:rPr>
          <w:spacing w:val="-5"/>
        </w:rPr>
        <w:t> </w:t>
      </w:r>
      <w:r>
        <w:rPr/>
        <w:t>la Jara?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5150"/>
      </w:pPr>
      <w:r>
        <w:rPr/>
        <w:t>En</w:t>
      </w:r>
      <w:r>
        <w:rPr>
          <w:spacing w:val="-2"/>
        </w:rPr>
        <w:t> </w:t>
      </w:r>
      <w:r>
        <w:rPr/>
        <w:t>Cartagena,</w:t>
      </w:r>
      <w:r>
        <w:rPr>
          <w:spacing w:val="-1"/>
        </w:rPr>
        <w:t> </w:t>
      </w:r>
      <w:r>
        <w:rPr/>
        <w:t>a 19</w:t>
      </w:r>
      <w:r>
        <w:rPr>
          <w:spacing w:val="-5"/>
        </w:rPr>
        <w:t> </w:t>
      </w:r>
      <w:r>
        <w:rPr/>
        <w:t>de septiembre de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230" w:val="left" w:leader="none"/>
          <w:tab w:pos="6302" w:val="left" w:leader="none"/>
        </w:tabs>
        <w:spacing w:line="427" w:lineRule="auto" w:before="220"/>
        <w:ind w:left="425" w:right="457" w:firstLine="600"/>
        <w:jc w:val="left"/>
        <w:rPr>
          <w:sz w:val="22"/>
        </w:rPr>
      </w:pPr>
      <w:r>
        <w:rPr>
          <w:sz w:val="22"/>
        </w:rPr>
        <w:t>Fdo.</w:t>
      </w:r>
      <w:r>
        <w:rPr>
          <w:spacing w:val="-5"/>
          <w:sz w:val="22"/>
        </w:rPr>
        <w:t> </w:t>
      </w:r>
      <w:r>
        <w:rPr>
          <w:sz w:val="22"/>
        </w:rPr>
        <w:t>Jesús</w:t>
      </w:r>
      <w:r>
        <w:rPr>
          <w:spacing w:val="-1"/>
          <w:sz w:val="22"/>
        </w:rPr>
        <w:t> </w:t>
      </w:r>
      <w:r>
        <w:rPr>
          <w:sz w:val="22"/>
        </w:rPr>
        <w:t>Giménez</w:t>
      </w:r>
      <w:r>
        <w:rPr>
          <w:spacing w:val="-1"/>
          <w:sz w:val="22"/>
        </w:rPr>
        <w:t> </w:t>
      </w:r>
      <w:r>
        <w:rPr>
          <w:sz w:val="22"/>
        </w:rPr>
        <w:t>Gallo</w:t>
        <w:tab/>
        <w:t>Fdo. María Dolores Ruiz Álvarez</w:t>
      </w:r>
      <w:r>
        <w:rPr>
          <w:spacing w:val="-58"/>
          <w:sz w:val="22"/>
        </w:rPr>
        <w:t> </w:t>
      </w:r>
      <w:r>
        <w:rPr>
          <w:sz w:val="22"/>
        </w:rPr>
        <w:t>Concejal-Portavoz</w:t>
      </w:r>
      <w:r>
        <w:rPr>
          <w:spacing w:val="-10"/>
          <w:sz w:val="22"/>
        </w:rPr>
        <w:t> </w:t>
      </w:r>
      <w:r>
        <w:rPr>
          <w:sz w:val="22"/>
        </w:rPr>
        <w:t>Grupo</w:t>
      </w:r>
      <w:r>
        <w:rPr>
          <w:spacing w:val="-4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z w:val="22"/>
        </w:rPr>
        <w:t>MC</w:t>
        <w:tab/>
        <w:tab/>
        <w:t>Concejal</w:t>
      </w:r>
      <w:r>
        <w:rPr>
          <w:spacing w:val="-8"/>
          <w:sz w:val="22"/>
        </w:rPr>
        <w:t> </w:t>
      </w:r>
      <w:r>
        <w:rPr>
          <w:sz w:val="22"/>
        </w:rPr>
        <w:t>Grupo Municipal</w:t>
      </w:r>
      <w:r>
        <w:rPr>
          <w:spacing w:val="-3"/>
          <w:sz w:val="22"/>
        </w:rPr>
        <w:t> </w:t>
      </w:r>
      <w:r>
        <w:rPr>
          <w:sz w:val="22"/>
        </w:rPr>
        <w:t>MC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94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ALCALDÍA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 PRESIDENCIA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EXCMO.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AYUNTAMIENTO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CARTAGENA</w:t>
      </w:r>
    </w:p>
    <w:sectPr>
      <w:type w:val="continuous"/>
      <w:pgSz w:w="11910" w:h="16840"/>
      <w:pgMar w:top="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2"/>
      <w:ind w:left="113" w:right="110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2023-09-20T09:16:52Z</dcterms:created>
  <dcterms:modified xsi:type="dcterms:W3CDTF">2023-09-20T09:16:52Z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