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MOCIÓN QUE PRESENTA MARÍA DOLORES FLORES GARCÍA, CONCEJAL DEL GRUPO MUNICIPAL SOCIALISTA, SOBRE VETERINARIOS MUNICIPALES</w:t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  <w:b w:val="false"/>
          <w:bCs w:val="false"/>
        </w:rPr>
        <w:t>La Ley de Protección de Derechos y Bienestar de los Animales establece que a partir del 29 de septiembre, es decir, mañana, todos los ayuntamientos de España tendrán que contar de forma obligatoria con un servicio de urgencia para la recogida y atención veterinaria de animales extraviados y abandonados disponible las veinticuatro horas del día. Esta gestión podrá realizarse directamente por los servicios municipales competentes o por entidades privadas, sin perjuicio de que, siempre que sea posible, se realice en colaboración con entidades de protección animal</w:t>
      </w:r>
    </w:p>
    <w:p>
      <w:pPr>
        <w:pStyle w:val="Normal"/>
        <w:spacing w:lineRule="auto" w:line="360"/>
        <w:jc w:val="both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  <w:b w:val="false"/>
          <w:bCs w:val="false"/>
        </w:rPr>
        <w:t xml:space="preserve">Además, según esta nueva normativa, los ayuntamientos están obligados a asumir la atención sanitaria de los gatos comunitarios y deben realizar un mapeo de las colonias, un censo de los felinos, esterilizarlos, marcarlos en la oreja e implantar un programa sanitario que implica la desparasitación, vacunación e identificación obligatoria mediante microchip.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  <w:b w:val="false"/>
          <w:bCs w:val="false"/>
        </w:rPr>
        <w:t xml:space="preserve">Por todo lo expuesto, el Grupo Municipal Socialista presenta para su debate y aprobación al Excmo. Ayuntamiento Pleno de Cartagena la siguiente </w:t>
      </w:r>
      <w:r>
        <w:rPr>
          <w:rFonts w:ascii="Verdana" w:hAnsi="Verdana"/>
          <w:b/>
          <w:bCs/>
        </w:rPr>
        <w:t>MOCIÓN</w:t>
      </w:r>
      <w:r>
        <w:rPr>
          <w:rFonts w:ascii="Verdana" w:hAnsi="Verdana"/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  <w:b w:val="false"/>
          <w:bCs w:val="false"/>
        </w:rPr>
        <w:br/>
        <w:t>El Excmo. Ayuntamiento Pleno de Cartagena insta al Gobierno local a poner en marcha, de manera urgente e inmediata, todos los servicios veterinarios municipales obligados por la Ley de Protección de Derechos y Bienestar de los Animales, en colaboración con las asociaciones y colectivos municipales de Defensa de los Animales, asumiendo también el control de la gestión del CATAD.</w:t>
      </w:r>
    </w:p>
    <w:p>
      <w:pPr>
        <w:pStyle w:val="Normal"/>
        <w:spacing w:lineRule="auto" w:line="360"/>
        <w:jc w:val="both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Cartagena, a 2</w:t>
      </w:r>
      <w:r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 xml:space="preserve"> de septiembre de 2023</w:t>
      </w:r>
    </w:p>
    <w:p>
      <w:pPr>
        <w:pStyle w:val="Normal"/>
        <w:spacing w:lineRule="auto" w:line="360"/>
        <w:jc w:val="center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center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center"/>
        <w:rPr>
          <w:rFonts w:ascii="Verdana" w:hAnsi="Verdana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lineRule="auto" w:line="360"/>
        <w:jc w:val="center"/>
        <w:rPr>
          <w:rFonts w:ascii="Verdana" w:hAnsi="Verdana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 xml:space="preserve">         </w:t>
      </w:r>
      <w:r>
        <w:rPr>
          <w:rFonts w:ascii="Verdana" w:hAnsi="Verdana"/>
          <w:b w:val="false"/>
          <w:bCs w:val="false"/>
          <w:sz w:val="22"/>
          <w:szCs w:val="22"/>
        </w:rPr>
        <w:t xml:space="preserve">Manuel Torres García </w:t>
        <w:tab/>
        <w:t xml:space="preserve">                   María Dolores Flores García</w:t>
      </w:r>
    </w:p>
    <w:p>
      <w:pPr>
        <w:pStyle w:val="Normal"/>
        <w:spacing w:lineRule="auto" w:line="36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 xml:space="preserve">Portavoz del Grupo Municipal Socialista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515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Application>LibreOffice/7.6.0.3$Windows_X86_64 LibreOffice_project/69edd8b8ebc41d00b4de3915dc82f8f0fc3b6265</Application>
  <AppVersion>15.0000</AppVersion>
  <Pages>2</Pages>
  <Words>277</Words>
  <Characters>1698</Characters>
  <CharactersWithSpaces>1999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2023-09-21T13:34:04Z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