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MANUEL TORRES GARCÍA, CONCEJAL DEL GRUPO MUNICIPAL SOCIALISTA, SOBRE FONDOS EUROPEOS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Exposición de Motivos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El Gobierno de España ha conseguido que la Unión Europea destine a nuestro país más de 140.000 millones de euros en fondos para la recuperación y la resiliencia ‘Next Generation’. </w:t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br/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¿Cuántos de esos millones ha recibido el municipio de Cartagena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hasta el día de hoy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?</w:t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 xml:space="preserve">¿Cuáles son los proyectos que se van a ejecutar con estos fondos 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hasta el día de hoy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?</w:t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20 de septiembre de 2023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Application>LibreOffice/7.6.0.3$Windows_X86_64 LibreOffice_project/69edd8b8ebc41d00b4de3915dc82f8f0fc3b6265</Application>
  <AppVersion>15.0000</AppVersion>
  <Pages>1</Pages>
  <Words>111</Words>
  <Characters>684</Characters>
  <CharactersWithSpaces>796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2023-08-07T11:39:03Z</cp:lastPrinted>
  <dcterms:modified xsi:type="dcterms:W3CDTF">2023-09-20T14:06:39Z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