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drawing>
          <wp:anchor behindDoc="0" distT="0" distB="0" distL="0" distR="0" simplePos="0" locked="0" layoutInCell="0" allowOverlap="1" relativeHeight="2">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50"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t>MOCIÓN QUE PRESENTA MARÍA DOLORES RUIZ ÁLVAREZ, CONCEJAL DEL GRUPO MUNICIPAL MC CARTAGENA, SOBRE `VILLA CALAMARI´</w:t>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En la sesión celebrada el día 7 de julio de 2022 por el Consejo de Gobierno de la CARM se acuerda resolver el procedimiento sancionador 05/2021 seguido contra la empresa Inmobiliaria Vano, S.L en materia de patrimonio cultural, por el que se sanciona a la mercantil por falta muy grave, como titular y responsable de los daños producidos en el BIC Villa Calamari,  con 200.002 euros y la obligación de restituir el BIC Villa Calamari al estado en que se encontraba.</w:t>
      </w:r>
    </w:p>
    <w:p>
      <w:pPr>
        <w:pStyle w:val="Normal"/>
        <w:spacing w:lineRule="auto" w:line="240" w:before="0" w:after="0"/>
        <w:jc w:val="both"/>
        <w:rPr>
          <w:rFonts w:ascii="Arial" w:hAnsi="Arial" w:cs="Arial"/>
          <w:sz w:val="24"/>
          <w:szCs w:val="24"/>
        </w:rPr>
      </w:pPr>
      <w:r>
        <w:rPr>
          <w:rFonts w:cs="Arial" w:ascii="Arial" w:hAnsi="Arial"/>
          <w:sz w:val="24"/>
          <w:szCs w:val="24"/>
        </w:rPr>
      </w:r>
    </w:p>
    <w:p>
      <w:pPr>
        <w:pStyle w:val="Normal"/>
        <w:spacing w:lineRule="auto" w:line="240" w:before="0" w:after="0"/>
        <w:jc w:val="both"/>
        <w:rPr>
          <w:rFonts w:ascii="Arial" w:hAnsi="Arial" w:cs="Arial"/>
          <w:sz w:val="24"/>
          <w:szCs w:val="24"/>
        </w:rPr>
      </w:pPr>
      <w:r>
        <w:rPr>
          <w:rFonts w:cs="Arial" w:ascii="Arial" w:hAnsi="Arial"/>
          <w:sz w:val="24"/>
          <w:szCs w:val="24"/>
        </w:rPr>
        <w:t>Dado que tras la resolución del expediente por parte del Gobierno de la CARM  se han producido diversos incidentes, como muestra la tabla adjunta, relacionados con asistencias de la Policía Local y Bomberos en el recinto del monumento:</w:t>
      </w:r>
    </w:p>
    <w:tbl>
      <w:tblPr>
        <w:tblpPr w:vertAnchor="text" w:horzAnchor="text" w:tblpXSpec="center" w:leftFromText="141" w:rightFromText="141" w:tblpY="1"/>
        <w:tblW w:w="4693" w:type="dxa"/>
        <w:jc w:val="center"/>
        <w:tblInd w:w="0" w:type="dxa"/>
        <w:tblLayout w:type="fixed"/>
        <w:tblCellMar>
          <w:top w:w="0" w:type="dxa"/>
          <w:left w:w="70" w:type="dxa"/>
          <w:bottom w:w="0" w:type="dxa"/>
          <w:right w:w="70" w:type="dxa"/>
        </w:tblCellMar>
        <w:tblLook w:firstRow="1" w:noVBand="1" w:lastRow="0" w:firstColumn="1" w:lastColumn="0" w:noHBand="0" w:val="04a0"/>
      </w:tblPr>
      <w:tblGrid>
        <w:gridCol w:w="1539"/>
        <w:gridCol w:w="1441"/>
        <w:gridCol w:w="1713"/>
      </w:tblGrid>
      <w:tr>
        <w:trPr>
          <w:trHeight w:val="315" w:hRule="exact"/>
        </w:trPr>
        <w:tc>
          <w:tcPr>
            <w:tcW w:w="1539"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c>
          <w:tcPr>
            <w:tcW w:w="1441"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c>
          <w:tcPr>
            <w:tcW w:w="1713"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r>
      <w:tr>
        <w:trPr>
          <w:trHeight w:val="315" w:hRule="atLeast"/>
        </w:trPr>
        <w:tc>
          <w:tcPr>
            <w:tcW w:w="1539" w:type="dxa"/>
            <w:tcBorders>
              <w:top w:val="single" w:sz="8" w:space="0" w:color="000000"/>
              <w:left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AÑO</w:t>
            </w:r>
          </w:p>
        </w:tc>
        <w:tc>
          <w:tcPr>
            <w:tcW w:w="1441" w:type="dxa"/>
            <w:tcBorders>
              <w:top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s-ES"/>
              </w:rPr>
            </w:pPr>
            <w:r>
              <w:rPr>
                <w:rFonts w:eastAsia="Times New Roman" w:cs="Calibri"/>
                <w:color w:val="000000"/>
                <w:lang w:eastAsia="es-ES"/>
              </w:rPr>
              <w:t>2022</w:t>
            </w:r>
          </w:p>
        </w:tc>
        <w:tc>
          <w:tcPr>
            <w:tcW w:w="1713" w:type="dxa"/>
            <w:tcBorders>
              <w:top w:val="single" w:sz="8" w:space="0" w:color="000000"/>
              <w:right w:val="single" w:sz="8" w:space="0" w:color="000000"/>
            </w:tcBorders>
            <w:shd w:color="auto" w:fill="auto" w:val="clear"/>
            <w:vAlign w:val="bottom"/>
          </w:tcPr>
          <w:p>
            <w:pPr>
              <w:pStyle w:val="Normal"/>
              <w:widowControl w:val="false"/>
              <w:spacing w:lineRule="auto" w:line="240" w:before="0" w:after="0"/>
              <w:jc w:val="center"/>
              <w:rPr>
                <w:rFonts w:ascii="Calibri" w:hAnsi="Calibri" w:eastAsia="Times New Roman" w:cs="Calibri"/>
                <w:color w:val="000000"/>
                <w:lang w:eastAsia="es-ES"/>
              </w:rPr>
            </w:pPr>
            <w:r>
              <w:rPr>
                <w:rFonts w:eastAsia="Times New Roman" w:cs="Calibri"/>
                <w:color w:val="000000"/>
                <w:lang w:eastAsia="es-ES"/>
              </w:rPr>
              <w:t>2023</w:t>
            </w:r>
          </w:p>
        </w:tc>
      </w:tr>
      <w:tr>
        <w:trPr>
          <w:trHeight w:val="315" w:hRule="atLeast"/>
        </w:trPr>
        <w:tc>
          <w:tcPr>
            <w:tcW w:w="1539" w:type="dxa"/>
            <w:tcBorders>
              <w:top w:val="single" w:sz="8" w:space="0" w:color="000000"/>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BOMBEROS</w:t>
            </w:r>
          </w:p>
        </w:tc>
        <w:tc>
          <w:tcPr>
            <w:tcW w:w="1441"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5 INCIDENCIAS</w:t>
            </w:r>
          </w:p>
        </w:tc>
        <w:tc>
          <w:tcPr>
            <w:tcW w:w="1713" w:type="dxa"/>
            <w:tcBorders>
              <w:top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9 INCIDENCIAS</w:t>
            </w:r>
          </w:p>
        </w:tc>
      </w:tr>
      <w:tr>
        <w:trPr>
          <w:trHeight w:val="315" w:hRule="atLeast"/>
        </w:trPr>
        <w:tc>
          <w:tcPr>
            <w:tcW w:w="1539" w:type="dxa"/>
            <w:tcBorders>
              <w:left w:val="single" w:sz="8" w:space="0" w:color="000000"/>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POLICIA LOCAL</w:t>
            </w:r>
          </w:p>
        </w:tc>
        <w:tc>
          <w:tcPr>
            <w:tcW w:w="1441"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1 PARTE</w:t>
            </w:r>
          </w:p>
        </w:tc>
        <w:tc>
          <w:tcPr>
            <w:tcW w:w="1713" w:type="dxa"/>
            <w:tcBorders>
              <w:bottom w:val="single" w:sz="8" w:space="0" w:color="000000"/>
              <w:right w:val="single" w:sz="8" w:space="0" w:color="000000"/>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t>2 PARTES</w:t>
            </w:r>
          </w:p>
        </w:tc>
      </w:tr>
      <w:tr>
        <w:trPr>
          <w:trHeight w:val="300" w:hRule="exact"/>
        </w:trPr>
        <w:tc>
          <w:tcPr>
            <w:tcW w:w="1539"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c>
          <w:tcPr>
            <w:tcW w:w="1441"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c>
          <w:tcPr>
            <w:tcW w:w="1713"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r>
      <w:tr>
        <w:trPr>
          <w:trHeight w:val="300" w:hRule="exact"/>
        </w:trPr>
        <w:tc>
          <w:tcPr>
            <w:tcW w:w="1539"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c>
          <w:tcPr>
            <w:tcW w:w="1441"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c>
          <w:tcPr>
            <w:tcW w:w="1713" w:type="dxa"/>
            <w:tcBorders/>
            <w:shd w:color="auto" w:fill="auto" w:val="clear"/>
            <w:vAlign w:val="bottom"/>
          </w:tcPr>
          <w:p>
            <w:pPr>
              <w:pStyle w:val="Normal"/>
              <w:widowControl w:val="false"/>
              <w:spacing w:lineRule="auto" w:line="240" w:before="0" w:after="0"/>
              <w:rPr>
                <w:rFonts w:ascii="Calibri" w:hAnsi="Calibri" w:eastAsia="Times New Roman" w:cs="Calibri"/>
                <w:color w:val="000000"/>
                <w:lang w:eastAsia="es-ES"/>
              </w:rPr>
            </w:pPr>
            <w:r>
              <w:rPr>
                <w:rFonts w:eastAsia="Times New Roman" w:cs="Calibri"/>
                <w:color w:val="000000"/>
                <w:lang w:eastAsia="es-ES"/>
              </w:rPr>
            </w:r>
          </w:p>
        </w:tc>
      </w:tr>
    </w:tbl>
    <w:p>
      <w:pPr>
        <w:pStyle w:val="Normal"/>
        <w:spacing w:lineRule="auto" w:line="240" w:before="0" w:after="0"/>
        <w:jc w:val="both"/>
        <w:rPr>
          <w:rFonts w:ascii="Arial" w:hAnsi="Arial" w:cs="Arial"/>
          <w:sz w:val="24"/>
          <w:szCs w:val="24"/>
        </w:rPr>
      </w:pPr>
      <w:r/>
      <w:r>
        <w:rPr>
          <w:rFonts w:cs="Arial" w:ascii="Arial" w:hAnsi="Arial"/>
          <w:sz w:val="24"/>
          <w:szCs w:val="24"/>
        </w:rPr>
        <w:br/>
        <w:t>Por lo</w:t>
      </w:r>
      <w:r>
        <w:rPr>
          <w:rFonts w:eastAsia="Arial Unicode MS" w:cs="Arial" w:ascii="Arial" w:hAnsi="Arial"/>
          <w:kern w:val="2"/>
          <w:sz w:val="24"/>
          <w:szCs w:val="24"/>
          <w:lang w:eastAsia="zh-CN"/>
        </w:rPr>
        <w:t xml:space="preserve"> todo lo anteriormente expuesto, la concejal que suscribe eleva al Pleno la siguiente</w:t>
      </w:r>
    </w:p>
    <w:p>
      <w:pPr>
        <w:pStyle w:val="Normal"/>
        <w:jc w:val="both"/>
        <w:rPr>
          <w:rFonts w:ascii="Arial" w:hAnsi="Arial" w:eastAsia="Times New Roman" w:cs="Arial"/>
          <w:color w:val="000000"/>
          <w:sz w:val="24"/>
          <w:szCs w:val="24"/>
          <w:lang w:eastAsia="es-ES"/>
        </w:rPr>
      </w:pPr>
      <w:r>
        <w:rPr>
          <w:rFonts w:eastAsia="Times New Roman" w:cs="Arial" w:ascii="Arial" w:hAnsi="Arial"/>
          <w:color w:val="000000"/>
          <w:sz w:val="24"/>
          <w:szCs w:val="24"/>
          <w:lang w:eastAsia="es-ES"/>
        </w:rPr>
      </w:r>
    </w:p>
    <w:p>
      <w:pPr>
        <w:pStyle w:val="Normal"/>
        <w:jc w:val="center"/>
        <w:rPr>
          <w:rFonts w:ascii="Arial" w:hAnsi="Arial" w:cs="Arial"/>
          <w:b/>
          <w:b/>
          <w:sz w:val="24"/>
          <w:szCs w:val="24"/>
        </w:rPr>
      </w:pPr>
      <w:r>
        <w:rPr>
          <w:rFonts w:cs="Arial" w:ascii="Arial" w:hAnsi="Arial"/>
          <w:b/>
          <w:sz w:val="24"/>
          <w:szCs w:val="24"/>
        </w:rPr>
        <w:t>MOCIÓN</w:t>
      </w:r>
    </w:p>
    <w:p>
      <w:pPr>
        <w:pStyle w:val="Normal"/>
        <w:jc w:val="both"/>
        <w:rPr>
          <w:rFonts w:ascii="Arial" w:hAnsi="Arial" w:cs="Arial"/>
          <w:sz w:val="24"/>
          <w:szCs w:val="24"/>
        </w:rPr>
      </w:pPr>
      <w:r>
        <w:rPr>
          <w:rFonts w:cs="Arial" w:ascii="Arial" w:hAnsi="Arial"/>
          <w:sz w:val="24"/>
          <w:szCs w:val="24"/>
        </w:rPr>
        <w:t xml:space="preserve">Que el Pleno inste al Gobierno local a informar al Gobierno de la CARM de estos hechos, que en su mayor o menor medida, continúan poniendo en peligro el BIC.  </w:t>
      </w:r>
    </w:p>
    <w:p>
      <w:pPr>
        <w:pStyle w:val="Normal"/>
        <w:jc w:val="both"/>
        <w:rPr>
          <w:rFonts w:ascii="Arial" w:hAnsi="Arial" w:cs="Arial"/>
          <w:sz w:val="24"/>
          <w:szCs w:val="24"/>
        </w:rPr>
      </w:pPr>
      <w:r>
        <w:rPr>
          <w:rFonts w:cs="Arial" w:ascii="Arial" w:hAnsi="Arial"/>
          <w:sz w:val="24"/>
          <w:szCs w:val="24"/>
        </w:rPr>
        <w:tab/>
      </w:r>
    </w:p>
    <w:p>
      <w:pPr>
        <w:pStyle w:val="Normal"/>
        <w:jc w:val="center"/>
        <w:rPr>
          <w:rFonts w:ascii="Arial" w:hAnsi="Arial" w:cs="Arial"/>
          <w:sz w:val="24"/>
          <w:szCs w:val="24"/>
        </w:rPr>
      </w:pPr>
      <w:r>
        <w:rPr>
          <w:rFonts w:cs="Arial" w:ascii="Arial" w:hAnsi="Arial"/>
          <w:sz w:val="24"/>
          <w:szCs w:val="24"/>
        </w:rPr>
        <w:t>Cartagena, a 9 de octubre de 2023.</w:t>
      </w:r>
    </w:p>
    <w:p>
      <w:pPr>
        <w:pStyle w:val="Normal"/>
        <w:jc w:val="both"/>
        <w:rPr>
          <w:rFonts w:ascii="Arial" w:hAnsi="Arial" w:cs="Arial"/>
          <w:sz w:val="24"/>
          <w:szCs w:val="24"/>
        </w:rPr>
      </w:pPr>
      <w:r>
        <w:rPr>
          <w:rFonts w:cs="Arial" w:ascii="Arial" w:hAnsi="Arial"/>
          <w:sz w:val="24"/>
          <w:szCs w:val="24"/>
        </w:rPr>
      </w:r>
    </w:p>
    <w:p>
      <w:pPr>
        <w:pStyle w:val="Normal"/>
        <w:ind w:right="-568" w:hanging="0"/>
        <w:rPr>
          <w:rFonts w:ascii="Arial" w:hAnsi="Arial" w:cs="Arial"/>
        </w:rPr>
      </w:pPr>
      <w:r>
        <w:rPr>
          <w:rFonts w:cs="Arial" w:ascii="Arial" w:hAnsi="Arial"/>
        </w:rPr>
      </w:r>
    </w:p>
    <w:p>
      <w:pPr>
        <w:pStyle w:val="Normal"/>
        <w:ind w:right="-568" w:hanging="0"/>
        <w:rPr>
          <w:rFonts w:ascii="Arial" w:hAnsi="Arial" w:cs="Arial"/>
        </w:rPr>
      </w:pPr>
      <w:r>
        <w:rPr>
          <w:rFonts w:cs="Arial" w:ascii="Arial" w:hAnsi="Arial"/>
        </w:rPr>
        <w:t>Fdo. Jesús Giménez Gallo                                               Fdo. María Dolores Ruiz Álvarez</w:t>
      </w:r>
    </w:p>
    <w:p>
      <w:pPr>
        <w:pStyle w:val="Normal"/>
        <w:ind w:right="-568" w:hanging="0"/>
        <w:rPr>
          <w:rFonts w:ascii="Arial" w:hAnsi="Arial" w:eastAsia="Arial" w:cs="Arial"/>
          <w:b/>
          <w:b/>
        </w:rPr>
      </w:pPr>
      <w:r>
        <w:rPr>
          <w:rFonts w:cs="Arial" w:ascii="Arial" w:hAnsi="Arial"/>
        </w:rPr>
        <w:t xml:space="preserve">Portavoz Grupo municipal MC.                               </w:t>
      </w:r>
      <w:bookmarkStart w:id="0" w:name="_GoBack"/>
      <w:bookmarkEnd w:id="0"/>
      <w:r>
        <w:rPr>
          <w:rFonts w:cs="Arial" w:ascii="Arial" w:hAnsi="Arial"/>
        </w:rPr>
        <w:t xml:space="preserve">         Concejal Grupo municipal MC.</w:t>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spacing w:before="0" w:after="200"/>
        <w:ind w:right="-568" w:hanging="0"/>
        <w:jc w:val="center"/>
        <w:rPr>
          <w:rFonts w:ascii="Arial" w:hAnsi="Arial" w:eastAsia="Arial" w:cs="Arial"/>
        </w:rPr>
      </w:pPr>
      <w:r>
        <w:rPr>
          <w:rFonts w:cs="Arial" w:ascii="Arial" w:hAnsi="Arial"/>
          <w:b/>
        </w:rPr>
        <w:t>A LA ALCALDÍA – PRESIDENCIA DEL EXCMO. AYUNTAMIENTO DE CARTAGENA</w:t>
      </w:r>
    </w:p>
    <w:sectPr>
      <w:type w:val="nextPage"/>
      <w:pgSz w:w="11906" w:h="16838"/>
      <w:pgMar w:left="1134" w:right="1134" w:header="0" w:top="964"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pBdr/>
      <w:suppressAutoHyphens w:val="true"/>
      <w:bidi w:val="0"/>
      <w:spacing w:lineRule="auto" w:line="240" w:before="0" w:after="0"/>
      <w:jc w:val="left"/>
    </w:pPr>
    <w:rPr>
      <w:rFonts w:ascii="Helvetica" w:hAnsi="Helvetica" w:eastAsia="Arial Unicode MS" w:cs="Arial Unicode MS"/>
      <w:color w:val="000000"/>
      <w:kern w:val="2"/>
      <w:sz w:val="22"/>
      <w:szCs w:val="22"/>
      <w:lang w:eastAsia="zh-CN" w:val="es-ES" w:bidi="ar-SA"/>
    </w:rPr>
  </w:style>
  <w:style w:type="paragraph" w:styleId="Contenidodelmarco">
    <w:name w:val="Contenido del marco"/>
    <w:basedOn w:val="Normal"/>
    <w:qFormat/>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Application>LibreOffice/7.1.2.2$Windows_X86_64 LibreOffice_project/8a45595d069ef5570103caea1b71cc9d82b2aae4</Application>
  <AppVersion>15.0000</AppVersion>
  <Pages>1</Pages>
  <Words>228</Words>
  <Characters>1139</Characters>
  <CharactersWithSpaces>1440</CharactersWithSpaces>
  <Paragraphs>20</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2023-08-06T17:41:00Z</dcterms:created>
  <dc:creator>Luffi</dc:creator>
  <dc:description/>
  <dc:language>es-ES</dc:language>
  <cp:lastModifiedBy>JOSE IGNACIO BORGOÑOS MARTINEZ</cp:lastModifiedBy>
  <dcterms:modified xsi:type="dcterms:W3CDTF">2023-10-09T10:26:00Z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