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-332105</wp:posOffset>
            </wp:positionV>
            <wp:extent cx="1330325" cy="1330325"/>
            <wp:effectExtent l="0" t="0" r="3175" b="31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152400" distB="152400" distL="152400" distR="152400" simplePos="0" relativeHeight="251658240" behindDoc="0" locked="0" layoutInCell="1" allowOverlap="1">
            <wp:simplePos x="0" y="0"/>
            <wp:positionH relativeFrom="margin">
              <wp:posOffset>22793</wp:posOffset>
            </wp:positionH>
            <wp:positionV relativeFrom="page">
              <wp:posOffset>217976</wp:posOffset>
            </wp:positionV>
            <wp:extent cx="4912995" cy="1341755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" r="19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46D01" w:rsidRPr="0000018D" w:rsidRDefault="00B46D01" w:rsidP="00B46D01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DD3B60" w:rsidRDefault="00B63E67" w:rsidP="00B46D01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MOCIÓN</w:t>
      </w:r>
      <w:r w:rsidR="005E5C5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46D01">
        <w:rPr>
          <w:rFonts w:ascii="Arial" w:hAnsi="Arial" w:cs="Arial"/>
          <w:b/>
          <w:color w:val="auto"/>
          <w:sz w:val="24"/>
          <w:szCs w:val="24"/>
        </w:rPr>
        <w:t>QUE PRESENTA MARÍA DOLORES RUIZ ÁLVAREZ</w:t>
      </w:r>
      <w:r w:rsidR="00B46D01" w:rsidRPr="0000018D">
        <w:rPr>
          <w:rFonts w:ascii="Arial" w:hAnsi="Arial" w:cs="Arial"/>
          <w:b/>
          <w:color w:val="auto"/>
          <w:sz w:val="24"/>
          <w:szCs w:val="24"/>
        </w:rPr>
        <w:t>, CONCEJAL DEL GRUPO</w:t>
      </w:r>
      <w:r w:rsidR="00B46D01">
        <w:rPr>
          <w:rFonts w:ascii="Arial" w:hAnsi="Arial" w:cs="Arial"/>
          <w:b/>
          <w:color w:val="auto"/>
          <w:sz w:val="24"/>
          <w:szCs w:val="24"/>
        </w:rPr>
        <w:t xml:space="preserve"> MUNICIPAL MC CARTA</w:t>
      </w:r>
      <w:r w:rsidR="003716B2">
        <w:rPr>
          <w:rFonts w:ascii="Arial" w:hAnsi="Arial" w:cs="Arial"/>
          <w:b/>
          <w:color w:val="auto"/>
          <w:sz w:val="24"/>
          <w:szCs w:val="24"/>
        </w:rPr>
        <w:t>GE</w:t>
      </w:r>
      <w:r w:rsidR="002B77C2">
        <w:rPr>
          <w:rFonts w:ascii="Arial" w:hAnsi="Arial" w:cs="Arial"/>
          <w:b/>
          <w:color w:val="auto"/>
          <w:sz w:val="24"/>
          <w:szCs w:val="24"/>
        </w:rPr>
        <w:t>NA</w:t>
      </w:r>
      <w:r w:rsidR="00B711A0">
        <w:rPr>
          <w:rFonts w:ascii="Arial" w:hAnsi="Arial" w:cs="Arial"/>
          <w:b/>
          <w:color w:val="auto"/>
          <w:sz w:val="24"/>
          <w:szCs w:val="24"/>
        </w:rPr>
        <w:t>,</w:t>
      </w:r>
      <w:r w:rsidR="005E5C54">
        <w:rPr>
          <w:rFonts w:ascii="Arial" w:hAnsi="Arial" w:cs="Arial"/>
          <w:b/>
          <w:color w:val="auto"/>
          <w:sz w:val="24"/>
          <w:szCs w:val="24"/>
        </w:rPr>
        <w:t xml:space="preserve"> SOBRE `</w:t>
      </w:r>
      <w:r w:rsidR="00E073A5">
        <w:rPr>
          <w:rFonts w:ascii="Arial" w:hAnsi="Arial" w:cs="Arial"/>
          <w:b/>
          <w:color w:val="auto"/>
          <w:sz w:val="24"/>
          <w:szCs w:val="24"/>
        </w:rPr>
        <w:t>FICUS EN EL NÚMERO 27 DE LA PLAZA DE LA MERCED</w:t>
      </w:r>
      <w:r w:rsidR="005E5C54">
        <w:rPr>
          <w:rFonts w:ascii="Arial" w:hAnsi="Arial" w:cs="Arial"/>
          <w:b/>
          <w:color w:val="auto"/>
          <w:sz w:val="24"/>
          <w:szCs w:val="24"/>
        </w:rPr>
        <w:t>´</w:t>
      </w:r>
    </w:p>
    <w:p w:rsidR="002C36FF" w:rsidRDefault="002C36FF" w:rsidP="00B46D01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E073A5" w:rsidRPr="00876C5B" w:rsidRDefault="005E5C54" w:rsidP="00202A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P</w:t>
      </w:r>
      <w:r w:rsidR="00E073A5" w:rsidRPr="00876C5B">
        <w:rPr>
          <w:rFonts w:ascii="Arial" w:hAnsi="Arial" w:cs="Arial"/>
          <w:sz w:val="24"/>
          <w:szCs w:val="24"/>
        </w:rPr>
        <w:t>leno de</w:t>
      </w:r>
      <w:r>
        <w:rPr>
          <w:rFonts w:ascii="Arial" w:hAnsi="Arial" w:cs="Arial"/>
          <w:sz w:val="24"/>
          <w:szCs w:val="24"/>
        </w:rPr>
        <w:t>l 25 de febrero de 2021, este G</w:t>
      </w:r>
      <w:r w:rsidR="00E073A5" w:rsidRPr="00876C5B">
        <w:rPr>
          <w:rFonts w:ascii="Arial" w:hAnsi="Arial" w:cs="Arial"/>
          <w:sz w:val="24"/>
          <w:szCs w:val="24"/>
        </w:rPr>
        <w:t>rupo municipal trajo una moción que fue aprobada sobre el núm</w:t>
      </w:r>
      <w:r w:rsidR="00E073A5">
        <w:rPr>
          <w:rFonts w:ascii="Arial" w:hAnsi="Arial" w:cs="Arial"/>
          <w:sz w:val="24"/>
          <w:szCs w:val="24"/>
        </w:rPr>
        <w:t>ero 27 de la Plaza de la Merced, moción que</w:t>
      </w:r>
      <w:r w:rsidR="00202A9C">
        <w:rPr>
          <w:rFonts w:ascii="Arial" w:hAnsi="Arial" w:cs="Arial"/>
          <w:sz w:val="24"/>
          <w:szCs w:val="24"/>
        </w:rPr>
        <w:t xml:space="preserve"> se</w:t>
      </w:r>
      <w:r w:rsidR="006B5AB6">
        <w:rPr>
          <w:rFonts w:ascii="Arial" w:hAnsi="Arial" w:cs="Arial"/>
          <w:sz w:val="24"/>
          <w:szCs w:val="24"/>
        </w:rPr>
        <w:t xml:space="preserve"> tuvo que traer nuevamente al P</w:t>
      </w:r>
      <w:r w:rsidR="00E073A5">
        <w:rPr>
          <w:rFonts w:ascii="Arial" w:hAnsi="Arial" w:cs="Arial"/>
          <w:sz w:val="24"/>
          <w:szCs w:val="24"/>
        </w:rPr>
        <w:t>leno en noviembre del año siguiente y traemos de nuevo al de enero de 2024, dado qu</w:t>
      </w:r>
      <w:r w:rsidR="006B5AB6">
        <w:rPr>
          <w:rFonts w:ascii="Arial" w:hAnsi="Arial" w:cs="Arial"/>
          <w:sz w:val="24"/>
          <w:szCs w:val="24"/>
        </w:rPr>
        <w:t>e las medidas adoptadas por el G</w:t>
      </w:r>
      <w:r w:rsidR="00E073A5">
        <w:rPr>
          <w:rFonts w:ascii="Arial" w:hAnsi="Arial" w:cs="Arial"/>
          <w:sz w:val="24"/>
          <w:szCs w:val="24"/>
        </w:rPr>
        <w:t>obierno municipal han resultado ser insuficientes.</w:t>
      </w:r>
    </w:p>
    <w:p w:rsidR="00E073A5" w:rsidRDefault="00E073A5" w:rsidP="0020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Recordamos que </w:t>
      </w:r>
      <w:r w:rsidR="00202A9C">
        <w:rPr>
          <w:rFonts w:ascii="Arial" w:hAnsi="Arial" w:cs="Arial"/>
          <w:sz w:val="24"/>
          <w:szCs w:val="24"/>
        </w:rPr>
        <w:t>la</w:t>
      </w:r>
      <w:r w:rsidRPr="00876C5B">
        <w:rPr>
          <w:rFonts w:ascii="Arial" w:hAnsi="Arial" w:cs="Arial"/>
          <w:sz w:val="24"/>
          <w:szCs w:val="24"/>
        </w:rPr>
        <w:t xml:space="preserve"> concejal</w:t>
      </w:r>
      <w:r>
        <w:rPr>
          <w:rFonts w:ascii="Arial" w:hAnsi="Arial" w:cs="Arial"/>
          <w:sz w:val="24"/>
          <w:szCs w:val="24"/>
        </w:rPr>
        <w:t xml:space="preserve"> que suscribe argumentaba que  la l</w:t>
      </w:r>
      <w:r w:rsidRPr="00876C5B">
        <w:rPr>
          <w:rFonts w:ascii="Arial" w:hAnsi="Arial" w:cs="Arial"/>
          <w:iCs/>
          <w:sz w:val="24"/>
          <w:szCs w:val="24"/>
        </w:rPr>
        <w:t>ey 13/2015, de 30 de marzo, de ordenación territorial y urbanística de la Región de Murcia</w:t>
      </w:r>
      <w:r w:rsidRPr="00876C5B">
        <w:rPr>
          <w:rFonts w:ascii="Arial" w:hAnsi="Arial" w:cs="Arial"/>
          <w:sz w:val="24"/>
          <w:szCs w:val="24"/>
        </w:rPr>
        <w:t xml:space="preserve"> en su artículo 110 determina que </w:t>
      </w:r>
      <w:r w:rsidR="006B5AB6">
        <w:rPr>
          <w:rFonts w:ascii="Arial" w:hAnsi="Arial" w:cs="Arial"/>
          <w:color w:val="000000"/>
          <w:sz w:val="24"/>
          <w:szCs w:val="24"/>
        </w:rPr>
        <w:t xml:space="preserve">los propietarios </w:t>
      </w:r>
      <w:r w:rsidRPr="00876C5B">
        <w:rPr>
          <w:rFonts w:ascii="Arial" w:hAnsi="Arial" w:cs="Arial"/>
          <w:color w:val="000000"/>
          <w:sz w:val="24"/>
          <w:szCs w:val="24"/>
        </w:rPr>
        <w:t xml:space="preserve">deberán mantenerlos en condiciones de seguridad, salubridad, accesibilidad universal y ornato público. Quedando sujetos  al cumplimiento de las normas sobre protección del medio ambiente y del paisaje y de los patrimonios arquitectónicos y el artículo 270.1 y 2 establece que los Ayuntamientos y , en su caso, los demás organismos competentes ordenarán la ejecución de las obras necesarias para mantener las condiciones de seguridad, salubridad y ornato públicos, con indicación del plazo de realización conforme a lo establecido en el artículo anterior, pudiendo ordenar , por motivos de interés público la ejecución de obras de conservación y reforma en fachadas o espacios visibles desde la vía pública. Por su parte el Plan Especial del Casco Histórico establece que el grado 3 colabora positivamente en el paisaje urbano protegiendo la fachada principal. </w:t>
      </w:r>
    </w:p>
    <w:p w:rsidR="005E5C54" w:rsidRPr="00876C5B" w:rsidRDefault="005E5C54" w:rsidP="0020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02A9C" w:rsidRDefault="005E5C54" w:rsidP="0020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Este G</w:t>
      </w:r>
      <w:r w:rsidR="00E073A5" w:rsidRPr="00876C5B">
        <w:rPr>
          <w:rFonts w:ascii="Arial" w:hAnsi="Arial" w:cs="Arial"/>
          <w:color w:val="000000"/>
          <w:sz w:val="24"/>
          <w:szCs w:val="24"/>
        </w:rPr>
        <w:t>rupo municipal duda que mantener en estas condiciones un edificio catalogado y en el entorno del BIC Palacio Aguirre cumpla con los requisitos establecidos en la normativa vigente, máxime cuando en la fotografía adjunta vemos el crecimiento de un árbol que podría perjudicar a su fachada protegida y que , además nace, en el ático que considera el propio PEOPCH distorsionante y exige su retranqueo tres metros en la línea de fachada y el tratamiento de los parámetros visibles desde el espacio público con i</w:t>
      </w:r>
      <w:r w:rsidR="00E073A5">
        <w:rPr>
          <w:rFonts w:ascii="Arial" w:hAnsi="Arial" w:cs="Arial"/>
          <w:color w:val="000000"/>
          <w:sz w:val="24"/>
          <w:szCs w:val="24"/>
        </w:rPr>
        <w:t>dénticas calidades a la fachada.</w:t>
      </w:r>
      <w:r w:rsidR="00202A9C">
        <w:rPr>
          <w:rFonts w:ascii="Arial" w:hAnsi="Arial" w:cs="Arial"/>
          <w:color w:val="000000"/>
          <w:sz w:val="24"/>
          <w:szCs w:val="24"/>
        </w:rPr>
        <w:t xml:space="preserve"> Amén de que duda que su propietario cumpla con las obligaciones de conservación q</w:t>
      </w:r>
      <w:r w:rsidR="006B5AB6">
        <w:rPr>
          <w:rFonts w:ascii="Arial" w:hAnsi="Arial" w:cs="Arial"/>
          <w:color w:val="000000"/>
          <w:sz w:val="24"/>
          <w:szCs w:val="24"/>
        </w:rPr>
        <w:t>ue le impone la legislación de p</w:t>
      </w:r>
      <w:r w:rsidR="00202A9C">
        <w:rPr>
          <w:rFonts w:ascii="Arial" w:hAnsi="Arial" w:cs="Arial"/>
          <w:color w:val="000000"/>
          <w:sz w:val="24"/>
          <w:szCs w:val="24"/>
        </w:rPr>
        <w:t xml:space="preserve">atrimonio.  </w:t>
      </w:r>
    </w:p>
    <w:p w:rsidR="005E5C54" w:rsidRDefault="005E5C54" w:rsidP="0020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E5C54" w:rsidRDefault="006B5AB6" w:rsidP="0020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Dicho árbol, que parece ser `descendiente´</w:t>
      </w:r>
      <w:r w:rsidR="00E073A5">
        <w:rPr>
          <w:rFonts w:ascii="Arial" w:hAnsi="Arial" w:cs="Arial"/>
          <w:color w:val="000000"/>
          <w:sz w:val="24"/>
          <w:szCs w:val="24"/>
        </w:rPr>
        <w:t xml:space="preserve"> del árbol anterior fue también objeto de denuncia en la Dirección General de Patrimonio que abrió el expediente OBR54/2023. Cuando el técnico de la administración regional se personó para documentar el hecho que había denunciado la Asociación Cartaginense, el ficus había desaparecido tras un año y ocho meses de frondoso crecimiento en la fachada del edificio protegido. </w:t>
      </w:r>
    </w:p>
    <w:p w:rsidR="005E5C54" w:rsidRDefault="005E5C54" w:rsidP="0020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073A5" w:rsidRDefault="00E073A5" w:rsidP="0020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Dado que en la actualidad el ficus vuelve a tener un tamaño respetable y no conviene esperar a que su desarrollo alcance un tamaño mayor,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la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con</w:t>
      </w:r>
      <w:r w:rsidR="005E5C54">
        <w:rPr>
          <w:rFonts w:ascii="Arial" w:hAnsi="Arial" w:cs="Arial"/>
          <w:color w:val="000000"/>
          <w:sz w:val="24"/>
          <w:szCs w:val="24"/>
        </w:rPr>
        <w:t>cejal que suscribe eleva al P</w:t>
      </w:r>
      <w:r>
        <w:rPr>
          <w:rFonts w:ascii="Arial" w:hAnsi="Arial" w:cs="Arial"/>
          <w:color w:val="000000"/>
          <w:sz w:val="24"/>
          <w:szCs w:val="24"/>
        </w:rPr>
        <w:t xml:space="preserve">leno la siguiente </w:t>
      </w:r>
    </w:p>
    <w:p w:rsidR="005E5C54" w:rsidRPr="00876C5B" w:rsidRDefault="005E5C54" w:rsidP="0020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D3B60" w:rsidRDefault="00DD3B60" w:rsidP="00202A9C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6B5AB6" w:rsidRDefault="006B5AB6" w:rsidP="00202A9C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6B5AB6" w:rsidRPr="004E1F8B" w:rsidRDefault="006B5AB6" w:rsidP="00202A9C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DD3B60" w:rsidRPr="004E1F8B" w:rsidRDefault="00B63E67" w:rsidP="006B5AB6">
      <w:pPr>
        <w:jc w:val="center"/>
        <w:rPr>
          <w:rFonts w:ascii="Arial" w:hAnsi="Arial" w:cs="Arial"/>
          <w:b/>
          <w:sz w:val="24"/>
          <w:szCs w:val="24"/>
        </w:rPr>
      </w:pPr>
      <w:r w:rsidRPr="004E1F8B">
        <w:rPr>
          <w:rFonts w:ascii="Arial" w:hAnsi="Arial" w:cs="Arial"/>
          <w:b/>
          <w:sz w:val="24"/>
          <w:szCs w:val="24"/>
        </w:rPr>
        <w:t>MOCIÓN</w:t>
      </w:r>
    </w:p>
    <w:p w:rsidR="00B63E67" w:rsidRPr="005E5C54" w:rsidRDefault="005E5C54" w:rsidP="00202A9C">
      <w:pPr>
        <w:pStyle w:val="Default"/>
        <w:jc w:val="both"/>
        <w:rPr>
          <w:color w:val="auto"/>
        </w:rPr>
      </w:pPr>
      <w:r w:rsidRPr="005E5C54">
        <w:rPr>
          <w:color w:val="auto"/>
        </w:rPr>
        <w:t>Que el Pleno municipal inste al G</w:t>
      </w:r>
      <w:r w:rsidR="00DD3B60" w:rsidRPr="005E5C54">
        <w:rPr>
          <w:color w:val="auto"/>
        </w:rPr>
        <w:t xml:space="preserve">obierno local a </w:t>
      </w:r>
      <w:r w:rsidR="004E1F8B" w:rsidRPr="005E5C54">
        <w:rPr>
          <w:color w:val="auto"/>
        </w:rPr>
        <w:t>q</w:t>
      </w:r>
      <w:r w:rsidR="004E1F8B" w:rsidRPr="005E5C54">
        <w:rPr>
          <w:rFonts w:eastAsia="Times New Roman"/>
          <w:color w:val="auto"/>
          <w:lang w:eastAsia="es-ES"/>
        </w:rPr>
        <w:t>ue</w:t>
      </w:r>
      <w:r w:rsidR="002C36FF" w:rsidRPr="005E5C54">
        <w:rPr>
          <w:rFonts w:eastAsia="Times New Roman"/>
          <w:color w:val="auto"/>
          <w:lang w:eastAsia="es-ES"/>
        </w:rPr>
        <w:t xml:space="preserve"> </w:t>
      </w:r>
      <w:r w:rsidR="00937BDF" w:rsidRPr="005E5C54">
        <w:rPr>
          <w:rFonts w:eastAsia="Times New Roman"/>
          <w:color w:val="auto"/>
          <w:lang w:eastAsia="es-ES"/>
        </w:rPr>
        <w:t xml:space="preserve">actúe conforme a lo determinado en los artículos 40.1, 46.3 o 50.1 de la Ley 4/2007, 16 de marzo retirando el ficus, ordenando su retirada a la propiedad o instando a la Dirección General a retirarlo. </w:t>
      </w:r>
    </w:p>
    <w:p w:rsidR="00B63E67" w:rsidRPr="004E1F8B" w:rsidRDefault="00B63E67" w:rsidP="00202A9C">
      <w:pPr>
        <w:jc w:val="both"/>
        <w:rPr>
          <w:rFonts w:ascii="Arial" w:hAnsi="Arial" w:cs="Arial"/>
          <w:b/>
          <w:sz w:val="24"/>
          <w:szCs w:val="24"/>
        </w:rPr>
      </w:pPr>
    </w:p>
    <w:p w:rsidR="00B46D01" w:rsidRPr="004E1F8B" w:rsidRDefault="005E5C54" w:rsidP="00202A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51A5D" w:rsidRPr="004E1F8B" w:rsidRDefault="002B77C2" w:rsidP="005E5C54">
      <w:pPr>
        <w:jc w:val="center"/>
        <w:rPr>
          <w:rFonts w:ascii="Arial" w:hAnsi="Arial" w:cs="Arial"/>
          <w:sz w:val="24"/>
          <w:szCs w:val="24"/>
        </w:rPr>
      </w:pPr>
      <w:r w:rsidRPr="004E1F8B">
        <w:rPr>
          <w:rFonts w:ascii="Arial" w:hAnsi="Arial" w:cs="Arial"/>
          <w:sz w:val="24"/>
          <w:szCs w:val="24"/>
        </w:rPr>
        <w:t>Cartagena</w:t>
      </w:r>
      <w:r w:rsidR="005E5C54">
        <w:rPr>
          <w:rFonts w:ascii="Arial" w:hAnsi="Arial" w:cs="Arial"/>
          <w:sz w:val="24"/>
          <w:szCs w:val="24"/>
        </w:rPr>
        <w:t>,</w:t>
      </w:r>
      <w:r w:rsidRPr="004E1F8B">
        <w:rPr>
          <w:rFonts w:ascii="Arial" w:hAnsi="Arial" w:cs="Arial"/>
          <w:sz w:val="24"/>
          <w:szCs w:val="24"/>
        </w:rPr>
        <w:t xml:space="preserve"> a</w:t>
      </w:r>
      <w:r w:rsidR="005E5C54">
        <w:rPr>
          <w:rFonts w:ascii="Arial" w:hAnsi="Arial" w:cs="Arial"/>
          <w:sz w:val="24"/>
          <w:szCs w:val="24"/>
        </w:rPr>
        <w:t xml:space="preserve"> 23 </w:t>
      </w:r>
      <w:r w:rsidR="00DA6B13" w:rsidRPr="004E1F8B">
        <w:rPr>
          <w:rFonts w:ascii="Arial" w:hAnsi="Arial" w:cs="Arial"/>
          <w:sz w:val="24"/>
          <w:szCs w:val="24"/>
        </w:rPr>
        <w:t xml:space="preserve">de </w:t>
      </w:r>
      <w:r w:rsidR="002C36FF">
        <w:rPr>
          <w:rFonts w:ascii="Arial" w:hAnsi="Arial" w:cs="Arial"/>
          <w:sz w:val="24"/>
          <w:szCs w:val="24"/>
        </w:rPr>
        <w:t>enero de</w:t>
      </w:r>
      <w:r w:rsidR="00E04FC2" w:rsidRPr="004E1F8B">
        <w:rPr>
          <w:rFonts w:ascii="Arial" w:hAnsi="Arial" w:cs="Arial"/>
          <w:sz w:val="24"/>
          <w:szCs w:val="24"/>
        </w:rPr>
        <w:t xml:space="preserve"> 202</w:t>
      </w:r>
      <w:r w:rsidR="002C36FF">
        <w:rPr>
          <w:rFonts w:ascii="Arial" w:hAnsi="Arial" w:cs="Arial"/>
          <w:sz w:val="24"/>
          <w:szCs w:val="24"/>
        </w:rPr>
        <w:t>4</w:t>
      </w:r>
      <w:r w:rsidR="005E5C54">
        <w:rPr>
          <w:rFonts w:ascii="Arial" w:hAnsi="Arial" w:cs="Arial"/>
          <w:sz w:val="24"/>
          <w:szCs w:val="24"/>
        </w:rPr>
        <w:t>.</w:t>
      </w:r>
    </w:p>
    <w:p w:rsidR="00B46D01" w:rsidRPr="004E1F8B" w:rsidRDefault="00B46D01" w:rsidP="00202A9C">
      <w:pPr>
        <w:jc w:val="both"/>
        <w:rPr>
          <w:rFonts w:ascii="Arial" w:hAnsi="Arial" w:cs="Arial"/>
          <w:sz w:val="24"/>
          <w:szCs w:val="24"/>
        </w:rPr>
      </w:pPr>
    </w:p>
    <w:p w:rsidR="00B46D01" w:rsidRPr="004E1F8B" w:rsidRDefault="00B46D01" w:rsidP="00202A9C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B46D01" w:rsidRPr="004E1F8B" w:rsidRDefault="00B46D01" w:rsidP="00B46D01">
      <w:pPr>
        <w:ind w:right="-568"/>
        <w:rPr>
          <w:rFonts w:ascii="Arial" w:hAnsi="Arial" w:cs="Arial"/>
          <w:sz w:val="24"/>
          <w:szCs w:val="24"/>
        </w:rPr>
      </w:pPr>
    </w:p>
    <w:p w:rsidR="00B46D01" w:rsidRPr="004E1F8B" w:rsidRDefault="00B46D01" w:rsidP="00B46D01">
      <w:pPr>
        <w:ind w:right="-568"/>
        <w:rPr>
          <w:rFonts w:ascii="Arial" w:hAnsi="Arial" w:cs="Arial"/>
          <w:sz w:val="24"/>
          <w:szCs w:val="24"/>
        </w:rPr>
      </w:pPr>
      <w:r w:rsidRPr="004E1F8B">
        <w:rPr>
          <w:rFonts w:ascii="Arial" w:hAnsi="Arial" w:cs="Arial"/>
          <w:sz w:val="24"/>
          <w:szCs w:val="24"/>
        </w:rPr>
        <w:t>Fdo.</w:t>
      </w:r>
      <w:r w:rsidR="00DA6B13" w:rsidRPr="004E1F8B">
        <w:rPr>
          <w:rFonts w:ascii="Arial" w:hAnsi="Arial" w:cs="Arial"/>
          <w:sz w:val="24"/>
          <w:szCs w:val="24"/>
        </w:rPr>
        <w:t xml:space="preserve"> Jesús Giménez Gallo</w:t>
      </w:r>
      <w:r w:rsidRPr="004E1F8B">
        <w:rPr>
          <w:rFonts w:ascii="Arial" w:hAnsi="Arial" w:cs="Arial"/>
          <w:sz w:val="24"/>
          <w:szCs w:val="24"/>
        </w:rPr>
        <w:tab/>
      </w:r>
      <w:r w:rsidRPr="004E1F8B">
        <w:rPr>
          <w:rFonts w:ascii="Arial" w:hAnsi="Arial" w:cs="Arial"/>
          <w:sz w:val="24"/>
          <w:szCs w:val="24"/>
        </w:rPr>
        <w:tab/>
      </w:r>
      <w:r w:rsidRPr="004E1F8B">
        <w:rPr>
          <w:rFonts w:ascii="Arial" w:hAnsi="Arial" w:cs="Arial"/>
          <w:sz w:val="24"/>
          <w:szCs w:val="24"/>
        </w:rPr>
        <w:tab/>
      </w:r>
      <w:r w:rsidRPr="004E1F8B">
        <w:rPr>
          <w:rFonts w:ascii="Arial" w:hAnsi="Arial" w:cs="Arial"/>
          <w:sz w:val="24"/>
          <w:szCs w:val="24"/>
        </w:rPr>
        <w:tab/>
      </w:r>
      <w:r w:rsidR="006B5AB6">
        <w:rPr>
          <w:rFonts w:ascii="Arial" w:hAnsi="Arial" w:cs="Arial"/>
          <w:sz w:val="24"/>
          <w:szCs w:val="24"/>
        </w:rPr>
        <w:t xml:space="preserve">         </w:t>
      </w:r>
      <w:r w:rsidRPr="004E1F8B">
        <w:rPr>
          <w:rFonts w:ascii="Arial" w:hAnsi="Arial" w:cs="Arial"/>
          <w:sz w:val="24"/>
          <w:szCs w:val="24"/>
        </w:rPr>
        <w:t>Fdo. María Dolores Ruiz Álvarez</w:t>
      </w:r>
    </w:p>
    <w:p w:rsidR="00B46D01" w:rsidRPr="004E1F8B" w:rsidRDefault="006B5AB6" w:rsidP="00B46D01">
      <w:pPr>
        <w:ind w:right="-56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Portavoz Grupo m</w:t>
      </w:r>
      <w:bookmarkStart w:id="0" w:name="_GoBack"/>
      <w:bookmarkEnd w:id="0"/>
      <w:r w:rsidR="00B46D01" w:rsidRPr="004E1F8B">
        <w:rPr>
          <w:rFonts w:ascii="Arial" w:hAnsi="Arial" w:cs="Arial"/>
          <w:sz w:val="24"/>
          <w:szCs w:val="24"/>
        </w:rPr>
        <w:t xml:space="preserve">unicipal MC                      </w:t>
      </w:r>
      <w:r w:rsidR="005E5C54">
        <w:rPr>
          <w:rFonts w:ascii="Arial" w:hAnsi="Arial" w:cs="Arial"/>
          <w:sz w:val="24"/>
          <w:szCs w:val="24"/>
        </w:rPr>
        <w:t xml:space="preserve">     </w:t>
      </w:r>
      <w:r w:rsidR="00B46D01" w:rsidRPr="004E1F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Concejal Grupo m</w:t>
      </w:r>
      <w:r w:rsidR="00B46D01" w:rsidRPr="004E1F8B">
        <w:rPr>
          <w:rFonts w:ascii="Arial" w:hAnsi="Arial" w:cs="Arial"/>
          <w:sz w:val="24"/>
          <w:szCs w:val="24"/>
        </w:rPr>
        <w:t>unicipal MC</w:t>
      </w:r>
    </w:p>
    <w:p w:rsidR="00B46D01" w:rsidRPr="004E1F8B" w:rsidRDefault="00B46D01" w:rsidP="00B46D01">
      <w:pPr>
        <w:ind w:right="-568"/>
        <w:rPr>
          <w:rFonts w:ascii="Arial" w:hAnsi="Arial" w:cs="Arial"/>
          <w:b/>
          <w:sz w:val="24"/>
          <w:szCs w:val="24"/>
        </w:rPr>
      </w:pPr>
    </w:p>
    <w:p w:rsidR="00B46D01" w:rsidRPr="004E1F8B" w:rsidRDefault="00B46D01" w:rsidP="00B46D01">
      <w:pPr>
        <w:ind w:right="-568"/>
        <w:rPr>
          <w:rFonts w:ascii="Arial" w:hAnsi="Arial" w:cs="Arial"/>
          <w:b/>
          <w:sz w:val="24"/>
          <w:szCs w:val="24"/>
        </w:rPr>
      </w:pPr>
    </w:p>
    <w:p w:rsidR="00B46D01" w:rsidRPr="004E1F8B" w:rsidRDefault="00B46D01" w:rsidP="00B46D01">
      <w:pPr>
        <w:ind w:right="-568"/>
        <w:rPr>
          <w:rFonts w:ascii="Arial" w:hAnsi="Arial" w:cs="Arial"/>
          <w:b/>
          <w:sz w:val="24"/>
          <w:szCs w:val="24"/>
        </w:rPr>
      </w:pPr>
    </w:p>
    <w:p w:rsidR="00B46D01" w:rsidRPr="004E1F8B" w:rsidRDefault="00B46D01" w:rsidP="00B46D01">
      <w:pPr>
        <w:ind w:right="-568"/>
        <w:rPr>
          <w:rFonts w:ascii="Arial" w:hAnsi="Arial" w:cs="Arial"/>
          <w:b/>
          <w:sz w:val="24"/>
          <w:szCs w:val="24"/>
        </w:rPr>
      </w:pPr>
    </w:p>
    <w:p w:rsidR="00B46D01" w:rsidRPr="004E1F8B" w:rsidRDefault="00B46D01" w:rsidP="00B46D01">
      <w:pPr>
        <w:ind w:right="-568"/>
        <w:rPr>
          <w:rFonts w:ascii="Arial" w:hAnsi="Arial" w:cs="Arial"/>
          <w:b/>
          <w:sz w:val="24"/>
          <w:szCs w:val="24"/>
        </w:rPr>
      </w:pPr>
    </w:p>
    <w:p w:rsidR="00B46D01" w:rsidRPr="004E1F8B" w:rsidRDefault="00B46D01" w:rsidP="005E5C54">
      <w:pPr>
        <w:ind w:right="-568"/>
        <w:jc w:val="center"/>
        <w:rPr>
          <w:rFonts w:ascii="Arial" w:eastAsia="Arial" w:hAnsi="Arial" w:cs="Arial"/>
          <w:sz w:val="24"/>
          <w:szCs w:val="24"/>
        </w:rPr>
      </w:pPr>
      <w:r w:rsidRPr="004E1F8B">
        <w:rPr>
          <w:rFonts w:ascii="Arial" w:hAnsi="Arial" w:cs="Arial"/>
          <w:b/>
          <w:sz w:val="24"/>
          <w:szCs w:val="24"/>
        </w:rPr>
        <w:t>A LA ALCALDÍA – PRESIDENCIA DEL EXCMO. AYUNTAMIENTO DE CARTAGENA</w:t>
      </w:r>
    </w:p>
    <w:p w:rsidR="001E6DB9" w:rsidRPr="004E1F8B" w:rsidRDefault="001E6DB9" w:rsidP="00455DBC">
      <w:pPr>
        <w:jc w:val="both"/>
        <w:rPr>
          <w:rFonts w:ascii="Arial" w:hAnsi="Arial" w:cs="Arial"/>
          <w:sz w:val="24"/>
          <w:szCs w:val="24"/>
        </w:rPr>
      </w:pPr>
    </w:p>
    <w:p w:rsidR="003637C1" w:rsidRPr="004E1F8B" w:rsidRDefault="005E5C54" w:rsidP="005E5C5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3044190" cy="6930657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ficus renacid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190" cy="6930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37C1" w:rsidRPr="004E1F8B" w:rsidSect="00EB44EA">
      <w:pgSz w:w="11906" w:h="16838" w:code="9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E5BB9"/>
    <w:multiLevelType w:val="hybridMultilevel"/>
    <w:tmpl w:val="43E407C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61F5A"/>
    <w:multiLevelType w:val="hybridMultilevel"/>
    <w:tmpl w:val="673018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A6EE5"/>
    <w:multiLevelType w:val="hybridMultilevel"/>
    <w:tmpl w:val="A9303E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43A53"/>
    <w:multiLevelType w:val="hybridMultilevel"/>
    <w:tmpl w:val="6E2273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51A5D"/>
    <w:rsid w:val="00010171"/>
    <w:rsid w:val="0003560D"/>
    <w:rsid w:val="00052C1F"/>
    <w:rsid w:val="000C70DD"/>
    <w:rsid w:val="000E7DCB"/>
    <w:rsid w:val="000E7E5C"/>
    <w:rsid w:val="000F5E92"/>
    <w:rsid w:val="00112423"/>
    <w:rsid w:val="001345B2"/>
    <w:rsid w:val="00196A18"/>
    <w:rsid w:val="001A7070"/>
    <w:rsid w:val="001B10B2"/>
    <w:rsid w:val="001E6DB9"/>
    <w:rsid w:val="001F2ECA"/>
    <w:rsid w:val="00202A9C"/>
    <w:rsid w:val="002105FB"/>
    <w:rsid w:val="002108A7"/>
    <w:rsid w:val="00213A71"/>
    <w:rsid w:val="00260FC1"/>
    <w:rsid w:val="002B77C2"/>
    <w:rsid w:val="002C36FF"/>
    <w:rsid w:val="002D37C8"/>
    <w:rsid w:val="002F3E0E"/>
    <w:rsid w:val="003203C4"/>
    <w:rsid w:val="003637C1"/>
    <w:rsid w:val="003716B2"/>
    <w:rsid w:val="00386471"/>
    <w:rsid w:val="00387843"/>
    <w:rsid w:val="003C12F4"/>
    <w:rsid w:val="003C65BD"/>
    <w:rsid w:val="003D093A"/>
    <w:rsid w:val="004279AE"/>
    <w:rsid w:val="00447BC4"/>
    <w:rsid w:val="00455DBC"/>
    <w:rsid w:val="004825BD"/>
    <w:rsid w:val="004B6375"/>
    <w:rsid w:val="004C451E"/>
    <w:rsid w:val="004E1F8B"/>
    <w:rsid w:val="00547A21"/>
    <w:rsid w:val="00576529"/>
    <w:rsid w:val="0058129B"/>
    <w:rsid w:val="0059673D"/>
    <w:rsid w:val="005C34F2"/>
    <w:rsid w:val="005E5C54"/>
    <w:rsid w:val="00612C1A"/>
    <w:rsid w:val="00647AB1"/>
    <w:rsid w:val="006666A2"/>
    <w:rsid w:val="00681B70"/>
    <w:rsid w:val="006851B9"/>
    <w:rsid w:val="00690DE7"/>
    <w:rsid w:val="006B5AB6"/>
    <w:rsid w:val="00700F6C"/>
    <w:rsid w:val="00716B6A"/>
    <w:rsid w:val="00726AE8"/>
    <w:rsid w:val="007863FE"/>
    <w:rsid w:val="00791C5A"/>
    <w:rsid w:val="00792DF4"/>
    <w:rsid w:val="0079415A"/>
    <w:rsid w:val="00794A0E"/>
    <w:rsid w:val="007D6D30"/>
    <w:rsid w:val="007F5EA0"/>
    <w:rsid w:val="00806912"/>
    <w:rsid w:val="00806D86"/>
    <w:rsid w:val="00812ED3"/>
    <w:rsid w:val="00834B5F"/>
    <w:rsid w:val="00874031"/>
    <w:rsid w:val="00885213"/>
    <w:rsid w:val="008965D7"/>
    <w:rsid w:val="008C22B1"/>
    <w:rsid w:val="00921AE4"/>
    <w:rsid w:val="009253EA"/>
    <w:rsid w:val="009275B7"/>
    <w:rsid w:val="00937BDF"/>
    <w:rsid w:val="00971155"/>
    <w:rsid w:val="00971FC2"/>
    <w:rsid w:val="009955D5"/>
    <w:rsid w:val="009B6FFF"/>
    <w:rsid w:val="00A02032"/>
    <w:rsid w:val="00A049FA"/>
    <w:rsid w:val="00A51A5D"/>
    <w:rsid w:val="00A8300B"/>
    <w:rsid w:val="00A92821"/>
    <w:rsid w:val="00AC53E1"/>
    <w:rsid w:val="00AD5E73"/>
    <w:rsid w:val="00AE0BFA"/>
    <w:rsid w:val="00AE4255"/>
    <w:rsid w:val="00AF61A8"/>
    <w:rsid w:val="00B15B9B"/>
    <w:rsid w:val="00B26B69"/>
    <w:rsid w:val="00B31337"/>
    <w:rsid w:val="00B46D01"/>
    <w:rsid w:val="00B5673D"/>
    <w:rsid w:val="00B63E67"/>
    <w:rsid w:val="00B711A0"/>
    <w:rsid w:val="00BA7050"/>
    <w:rsid w:val="00BC3E57"/>
    <w:rsid w:val="00C26048"/>
    <w:rsid w:val="00C47C43"/>
    <w:rsid w:val="00C51A89"/>
    <w:rsid w:val="00CA75DF"/>
    <w:rsid w:val="00CE53A3"/>
    <w:rsid w:val="00D26357"/>
    <w:rsid w:val="00D30FD3"/>
    <w:rsid w:val="00D72CF0"/>
    <w:rsid w:val="00DA6B13"/>
    <w:rsid w:val="00DB1B3A"/>
    <w:rsid w:val="00DD3B60"/>
    <w:rsid w:val="00E04252"/>
    <w:rsid w:val="00E04FC2"/>
    <w:rsid w:val="00E073A5"/>
    <w:rsid w:val="00E107CE"/>
    <w:rsid w:val="00E347E5"/>
    <w:rsid w:val="00E5293D"/>
    <w:rsid w:val="00E73801"/>
    <w:rsid w:val="00EB44EA"/>
    <w:rsid w:val="00EC730F"/>
    <w:rsid w:val="00EE390C"/>
    <w:rsid w:val="00F04AF5"/>
    <w:rsid w:val="00F37341"/>
    <w:rsid w:val="00F91362"/>
    <w:rsid w:val="00FC1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rsid w:val="00B46D0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Helvetica" w:eastAsia="Arial Unicode MS" w:hAnsi="Helvetica" w:cs="Arial Unicode MS"/>
      <w:color w:val="000000"/>
      <w:kern w:val="1"/>
      <w:lang w:eastAsia="zh-CN"/>
    </w:rPr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  <w:style w:type="paragraph" w:customStyle="1" w:styleId="Default">
    <w:name w:val="Default"/>
    <w:rsid w:val="00937B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5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JOSE IGNACIO BORGOÑOS MARTINEZ</cp:lastModifiedBy>
  <cp:revision>10</cp:revision>
  <dcterms:created xsi:type="dcterms:W3CDTF">2023-12-07T13:09:00Z</dcterms:created>
  <dcterms:modified xsi:type="dcterms:W3CDTF">2024-01-23T09:56:00Z</dcterms:modified>
</cp:coreProperties>
</file>