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bookmarkStart w:id="0" w:name="_GoBack"/>
      <w:bookmarkEnd w:id="0"/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2C36FF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4939E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8C379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B4902">
        <w:rPr>
          <w:rFonts w:ascii="Arial" w:hAnsi="Arial" w:cs="Arial"/>
          <w:b/>
          <w:color w:val="auto"/>
          <w:sz w:val="24"/>
          <w:szCs w:val="24"/>
        </w:rPr>
        <w:t>SOBRE `INFORME URBANÍ</w:t>
      </w:r>
      <w:r w:rsidR="008C3797">
        <w:rPr>
          <w:rFonts w:ascii="Arial" w:hAnsi="Arial" w:cs="Arial"/>
          <w:b/>
          <w:color w:val="auto"/>
          <w:sz w:val="24"/>
          <w:szCs w:val="24"/>
        </w:rPr>
        <w:t xml:space="preserve">STICO MONASTERIO DE SAN GINÉS DE LA </w:t>
      </w:r>
      <w:r w:rsidR="00636F3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B4902">
        <w:rPr>
          <w:rFonts w:ascii="Arial" w:hAnsi="Arial" w:cs="Arial"/>
          <w:b/>
          <w:color w:val="auto"/>
          <w:sz w:val="24"/>
          <w:szCs w:val="24"/>
        </w:rPr>
        <w:t>JARA´</w:t>
      </w:r>
    </w:p>
    <w:p w:rsidR="00DD3B60" w:rsidRDefault="00DD3B60" w:rsidP="00202A9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C3797" w:rsidRDefault="008C3797" w:rsidP="00202A9C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8C3797">
        <w:rPr>
          <w:rFonts w:ascii="Arial" w:hAnsi="Arial" w:cs="Arial"/>
          <w:color w:val="auto"/>
          <w:sz w:val="24"/>
          <w:szCs w:val="24"/>
        </w:rPr>
        <w:t>El día 23 de octubre de 2023</w:t>
      </w:r>
      <w:r w:rsidR="00DB4902">
        <w:rPr>
          <w:rFonts w:ascii="Arial" w:hAnsi="Arial" w:cs="Arial"/>
          <w:color w:val="auto"/>
          <w:sz w:val="24"/>
          <w:szCs w:val="24"/>
        </w:rPr>
        <w:t>,</w:t>
      </w:r>
      <w:r w:rsidR="00FC09F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los servicios técnicos de intervención urbanística informan sobre las obras que se están realizando en el Monasterio de San Ginés de la Jara con la finalidad de dar respuesta a una queja ante el Defensor del Pueblo Nacional.</w:t>
      </w:r>
    </w:p>
    <w:p w:rsidR="00DB4902" w:rsidRDefault="00DB4902" w:rsidP="00202A9C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8C3797" w:rsidRDefault="008C3797" w:rsidP="00202A9C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 institución nacional solicita</w:t>
      </w:r>
      <w:r w:rsidR="00FC09FA">
        <w:rPr>
          <w:rFonts w:ascii="Arial" w:hAnsi="Arial" w:cs="Arial"/>
          <w:color w:val="auto"/>
          <w:sz w:val="24"/>
          <w:szCs w:val="24"/>
        </w:rPr>
        <w:t>ba</w:t>
      </w:r>
      <w:r>
        <w:rPr>
          <w:rFonts w:ascii="Arial" w:hAnsi="Arial" w:cs="Arial"/>
          <w:color w:val="auto"/>
          <w:sz w:val="24"/>
          <w:szCs w:val="24"/>
        </w:rPr>
        <w:t xml:space="preserve"> información el día 29/06/2022  sobre los siguientes puntos:</w:t>
      </w:r>
    </w:p>
    <w:p w:rsidR="008C3797" w:rsidRDefault="008C3797" w:rsidP="008C3797">
      <w:pPr>
        <w:pStyle w:val="Cuerp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Si la sociedad Hansa Urbana ha reanudado las obras de restauración del Monasterio de San Ginés de la Jara.</w:t>
      </w:r>
    </w:p>
    <w:p w:rsidR="008C3797" w:rsidRDefault="008C3797" w:rsidP="008C3797">
      <w:pPr>
        <w:pStyle w:val="Cuerp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En caso negativo, si se ha procedido a la ejecución forzosa.</w:t>
      </w:r>
    </w:p>
    <w:p w:rsidR="008C3797" w:rsidRDefault="008C3797" w:rsidP="008C3797">
      <w:pPr>
        <w:pStyle w:val="Cuerp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Si se ha procedido a la adaptación y actualización de la redacción del proyecto de restauración para la contratación pública del mismo.</w:t>
      </w:r>
    </w:p>
    <w:p w:rsidR="006D75C3" w:rsidRDefault="006D75C3" w:rsidP="006D75C3">
      <w:pPr>
        <w:pStyle w:val="Cuerpo"/>
        <w:spacing w:line="276" w:lineRule="auto"/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:rsidR="00DC1528" w:rsidRDefault="00DC1528" w:rsidP="00DC1528">
      <w:pPr>
        <w:pStyle w:val="Cuerpo"/>
        <w:spacing w:line="276" w:lineRule="auto"/>
        <w:ind w:left="360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Concluy</w:t>
      </w:r>
      <w:r w:rsidR="00DB4902">
        <w:rPr>
          <w:rFonts w:ascii="Arial" w:hAnsi="Arial" w:cs="Arial"/>
          <w:color w:val="auto"/>
          <w:sz w:val="24"/>
          <w:szCs w:val="24"/>
        </w:rPr>
        <w:t>e el informe que la obra continú</w:t>
      </w:r>
      <w:r>
        <w:rPr>
          <w:rFonts w:ascii="Arial" w:hAnsi="Arial" w:cs="Arial"/>
          <w:color w:val="auto"/>
          <w:sz w:val="24"/>
          <w:szCs w:val="24"/>
        </w:rPr>
        <w:t xml:space="preserve">a ejecutándose por lo que no se ha procedido a la ejecución forzosa de la misma y que </w:t>
      </w:r>
      <w:r w:rsidRPr="00DC1528">
        <w:rPr>
          <w:rFonts w:ascii="Arial" w:hAnsi="Arial" w:cs="Arial"/>
          <w:b/>
          <w:color w:val="auto"/>
          <w:sz w:val="24"/>
          <w:szCs w:val="24"/>
          <w:u w:val="single"/>
        </w:rPr>
        <w:t>en caso de proceder ésta será el Servicio de Gestión Urbanística el que tenga que emitir informe.</w:t>
      </w:r>
    </w:p>
    <w:p w:rsidR="00DC1528" w:rsidRDefault="00DC1528" w:rsidP="00DC1528">
      <w:pPr>
        <w:pStyle w:val="Cuerpo"/>
        <w:spacing w:line="276" w:lineRule="auto"/>
        <w:ind w:left="360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DC1528" w:rsidRDefault="003050E5" w:rsidP="003050E5">
      <w:pPr>
        <w:pStyle w:val="Cuerpo"/>
        <w:spacing w:line="276" w:lineRule="auto"/>
        <w:ind w:left="360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 xml:space="preserve">La </w:t>
      </w:r>
      <w:r w:rsidR="00DB4902">
        <w:rPr>
          <w:rFonts w:ascii="Arial" w:hAnsi="Arial" w:cs="Arial"/>
          <w:color w:val="auto"/>
          <w:sz w:val="24"/>
          <w:szCs w:val="24"/>
        </w:rPr>
        <w:t>licencia MA2007/303</w:t>
      </w:r>
      <w:r w:rsidR="00DC1528">
        <w:rPr>
          <w:rFonts w:ascii="Arial" w:hAnsi="Arial" w:cs="Arial"/>
          <w:color w:val="auto"/>
          <w:sz w:val="24"/>
          <w:szCs w:val="24"/>
        </w:rPr>
        <w:t xml:space="preserve">, que aborda solamente una primera fase de intervención en el </w:t>
      </w:r>
      <w:proofErr w:type="gramStart"/>
      <w:r w:rsidR="00DC1528">
        <w:rPr>
          <w:rFonts w:ascii="Arial" w:hAnsi="Arial" w:cs="Arial"/>
          <w:color w:val="auto"/>
          <w:sz w:val="24"/>
          <w:szCs w:val="24"/>
        </w:rPr>
        <w:t>monumento ,</w:t>
      </w:r>
      <w:proofErr w:type="gramEnd"/>
      <w:r w:rsidR="00DC1528">
        <w:rPr>
          <w:rFonts w:ascii="Arial" w:hAnsi="Arial" w:cs="Arial"/>
          <w:color w:val="auto"/>
          <w:sz w:val="24"/>
          <w:szCs w:val="24"/>
        </w:rPr>
        <w:t xml:space="preserve"> fijaba un plazo m</w:t>
      </w:r>
      <w:r>
        <w:rPr>
          <w:rFonts w:ascii="Arial" w:hAnsi="Arial" w:cs="Arial"/>
          <w:color w:val="auto"/>
          <w:sz w:val="24"/>
          <w:szCs w:val="24"/>
        </w:rPr>
        <w:t xml:space="preserve">áximo de ejecución de 24 meses y el informe técnico de fecha 23/10/2023 </w:t>
      </w:r>
      <w:r w:rsidRPr="003050E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clarifica que en cuanto al contenido de esa licencia las obras solamente han sido ejecutadas en un 50,83%, </w:t>
      </w:r>
    </w:p>
    <w:p w:rsidR="003050E5" w:rsidRDefault="003050E5" w:rsidP="003050E5">
      <w:pPr>
        <w:pStyle w:val="Cuerpo"/>
        <w:spacing w:line="276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</w:p>
    <w:p w:rsidR="003050E5" w:rsidRDefault="003050E5" w:rsidP="003050E5">
      <w:pPr>
        <w:pStyle w:val="Cuerpo"/>
        <w:spacing w:line="276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Tomando como antecedente las siguientes cuestiones:</w:t>
      </w:r>
    </w:p>
    <w:p w:rsidR="00244AA2" w:rsidRDefault="00244AA2" w:rsidP="00DB4902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3050E5" w:rsidRPr="00DB4902" w:rsidRDefault="003050E5" w:rsidP="00DB4902">
      <w:pPr>
        <w:pStyle w:val="Cuerp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El </w:t>
      </w:r>
      <w:r w:rsidRPr="003050E5">
        <w:rPr>
          <w:rFonts w:ascii="Arial" w:hAnsi="Arial" w:cs="Arial"/>
          <w:color w:val="auto"/>
          <w:sz w:val="24"/>
          <w:szCs w:val="24"/>
        </w:rPr>
        <w:t xml:space="preserve">contenido de las órdenes de las Juntas de Gobierno local de 27 de  abril de 2012, 4 de junio de 2021 </w:t>
      </w:r>
      <w:r w:rsidR="00244AA2">
        <w:rPr>
          <w:rFonts w:ascii="Arial" w:hAnsi="Arial" w:cs="Arial"/>
          <w:color w:val="auto"/>
          <w:sz w:val="24"/>
          <w:szCs w:val="24"/>
        </w:rPr>
        <w:t xml:space="preserve">de las cuales informa el Servicio de Gestión Urbanística el día 21/10/2021 en el siguiente sentido “En </w:t>
      </w:r>
      <w:r w:rsidRPr="003050E5">
        <w:rPr>
          <w:rFonts w:ascii="Arial" w:hAnsi="Arial" w:cs="Arial"/>
          <w:color w:val="auto"/>
          <w:sz w:val="24"/>
          <w:szCs w:val="24"/>
        </w:rPr>
        <w:t xml:space="preserve">cuanto a que </w:t>
      </w:r>
      <w:r w:rsidRPr="003050E5">
        <w:rPr>
          <w:rFonts w:ascii="Arial" w:hAnsi="Arial" w:cs="Arial"/>
          <w:sz w:val="24"/>
          <w:szCs w:val="24"/>
        </w:rPr>
        <w:t>en el supuesto de no cumplir HANSA URBANA, S.A. el requerimiento de ejecución a qu</w:t>
      </w:r>
      <w:r w:rsidR="00244AA2">
        <w:rPr>
          <w:rFonts w:ascii="Arial" w:hAnsi="Arial" w:cs="Arial"/>
          <w:sz w:val="24"/>
          <w:szCs w:val="24"/>
        </w:rPr>
        <w:t xml:space="preserve">e se refieren ambos acuerdos, el </w:t>
      </w:r>
      <w:r w:rsidRPr="003050E5">
        <w:rPr>
          <w:rFonts w:ascii="Arial" w:hAnsi="Arial" w:cs="Arial"/>
          <w:sz w:val="24"/>
          <w:szCs w:val="24"/>
        </w:rPr>
        <w:t xml:space="preserve"> Ayuntamiento procederá a la ejecución forzosa, en los términos de los artículos 99 y siguientes de la Ley 39/2015 de 1 de Octubre de Procedimiento Administrativo de las Administraciones Públicas</w:t>
      </w:r>
      <w:r>
        <w:rPr>
          <w:rFonts w:ascii="Arial" w:hAnsi="Arial" w:cs="Arial"/>
          <w:sz w:val="24"/>
          <w:szCs w:val="24"/>
        </w:rPr>
        <w:t xml:space="preserve">. </w:t>
      </w:r>
      <w:r w:rsidR="00244AA2" w:rsidRPr="00244AA2">
        <w:rPr>
          <w:rFonts w:ascii="Arial" w:hAnsi="Arial" w:cs="Arial"/>
          <w:sz w:val="24"/>
          <w:szCs w:val="24"/>
        </w:rPr>
        <w:t>Tratándose de un acto u obligación no personalísimo, se estará a lo establecido en el artículo 102, sobre ejecución subsidiaria, en relación con el artículo 101, apremio sobre el patrimonio, de la Ley 39/2015. El acto se ejecutará por el propio Ayuntamiento o a través de persona que se determine. El importe de las obras será a costa de HANSA URBANA, S.L. y, con carácter general, se exigirá por la</w:t>
      </w:r>
      <w:r w:rsidR="00DB4902">
        <w:rPr>
          <w:rFonts w:ascii="Arial" w:hAnsi="Arial" w:cs="Arial"/>
          <w:color w:val="auto"/>
          <w:sz w:val="24"/>
          <w:szCs w:val="24"/>
        </w:rPr>
        <w:t xml:space="preserve"> </w:t>
      </w:r>
      <w:r w:rsidR="00244AA2" w:rsidRPr="00DB4902">
        <w:rPr>
          <w:rFonts w:ascii="Arial" w:hAnsi="Arial" w:cs="Arial"/>
          <w:sz w:val="24"/>
          <w:szCs w:val="24"/>
        </w:rPr>
        <w:t xml:space="preserve">vía de apremio, tal y como establece el artículo 101 de la Ley 39/2015, pudiendo liquidarse de forma </w:t>
      </w:r>
      <w:r w:rsidR="00244AA2" w:rsidRPr="00DB4902">
        <w:rPr>
          <w:rFonts w:ascii="Arial" w:hAnsi="Arial" w:cs="Arial"/>
          <w:sz w:val="24"/>
          <w:szCs w:val="24"/>
        </w:rPr>
        <w:lastRenderedPageBreak/>
        <w:t>provisional y r</w:t>
      </w:r>
      <w:r w:rsidR="00DB4902">
        <w:rPr>
          <w:rFonts w:ascii="Arial" w:hAnsi="Arial" w:cs="Arial"/>
          <w:sz w:val="24"/>
          <w:szCs w:val="24"/>
        </w:rPr>
        <w:t>ealizarse antes de la ejecución</w:t>
      </w:r>
      <w:r w:rsidR="00244AA2" w:rsidRPr="00DB4902">
        <w:rPr>
          <w:rFonts w:ascii="Arial" w:hAnsi="Arial" w:cs="Arial"/>
          <w:sz w:val="24"/>
          <w:szCs w:val="24"/>
        </w:rPr>
        <w:t>, a reserva de la liquidación definitiva. Hecho del cual informó en el mismo sentido con fecha 10/03/2021.</w:t>
      </w:r>
    </w:p>
    <w:p w:rsidR="00244AA2" w:rsidRDefault="00244AA2" w:rsidP="00244AA2">
      <w:pPr>
        <w:pStyle w:val="Cuerp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D318E" w:rsidRPr="00636F34" w:rsidRDefault="00244AA2" w:rsidP="00244AA2">
      <w:pPr>
        <w:pStyle w:val="Cuerp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Sentencia firme del TSJ número 141/2016 </w:t>
      </w:r>
      <w:r w:rsidR="00AD318E">
        <w:rPr>
          <w:rFonts w:ascii="Arial" w:hAnsi="Arial" w:cs="Arial"/>
          <w:sz w:val="24"/>
          <w:szCs w:val="24"/>
        </w:rPr>
        <w:t xml:space="preserve">que declara conforme a </w:t>
      </w:r>
      <w:r w:rsidR="00AD318E" w:rsidRPr="00AD318E">
        <w:rPr>
          <w:rFonts w:ascii="Arial" w:hAnsi="Arial" w:cs="Arial"/>
          <w:sz w:val="24"/>
          <w:szCs w:val="24"/>
        </w:rPr>
        <w:t>derecho el Acuerdo de la Junta de Gobierno del Ayuntamiento de Cartagena de 14 de diciembre de 2012</w:t>
      </w:r>
      <w:r w:rsidR="00AD318E">
        <w:rPr>
          <w:rFonts w:ascii="Arial" w:hAnsi="Arial" w:cs="Arial"/>
          <w:sz w:val="24"/>
          <w:szCs w:val="24"/>
        </w:rPr>
        <w:t>.</w:t>
      </w:r>
      <w:r w:rsidR="00AD318E" w:rsidRPr="00AD318E">
        <w:rPr>
          <w:rFonts w:ascii="Arial" w:hAnsi="Arial" w:cs="Arial"/>
          <w:sz w:val="24"/>
          <w:szCs w:val="24"/>
        </w:rPr>
        <w:tab/>
      </w:r>
    </w:p>
    <w:p w:rsidR="00244AA2" w:rsidRPr="00AD318E" w:rsidRDefault="00AD318E" w:rsidP="00DB4902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D318E">
        <w:rPr>
          <w:rFonts w:ascii="Arial" w:hAnsi="Arial" w:cs="Arial"/>
          <w:sz w:val="24"/>
          <w:szCs w:val="24"/>
        </w:rPr>
        <w:tab/>
      </w:r>
    </w:p>
    <w:p w:rsidR="00AD318E" w:rsidRPr="003050E5" w:rsidRDefault="00AD318E" w:rsidP="00244AA2">
      <w:pPr>
        <w:pStyle w:val="Cuerp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La Sentencia del TSJ 267/2022 que concluye  que </w:t>
      </w:r>
      <w:r w:rsidR="004939E3">
        <w:rPr>
          <w:rFonts w:ascii="Arial" w:hAnsi="Arial" w:cs="Arial"/>
          <w:color w:val="auto"/>
          <w:sz w:val="24"/>
          <w:szCs w:val="24"/>
        </w:rPr>
        <w:t xml:space="preserve"> “en cua</w:t>
      </w:r>
      <w:r w:rsidR="006D75C3">
        <w:rPr>
          <w:rFonts w:ascii="Arial" w:hAnsi="Arial" w:cs="Arial"/>
          <w:color w:val="auto"/>
          <w:sz w:val="24"/>
          <w:szCs w:val="24"/>
        </w:rPr>
        <w:t>nto a los intereses en conflicto el interés de Hansa Urbana es puramente económico, por lo que podría ser fácilmente reparable por la Administración, que es solvente; frente a ello se encuentra un interés superior como es e</w:t>
      </w:r>
      <w:r w:rsidR="004939E3">
        <w:rPr>
          <w:rFonts w:ascii="Arial" w:hAnsi="Arial" w:cs="Arial"/>
          <w:color w:val="auto"/>
          <w:sz w:val="24"/>
          <w:szCs w:val="24"/>
        </w:rPr>
        <w:t xml:space="preserve">l de protección de un bien </w:t>
      </w:r>
      <w:r w:rsidR="006D75C3">
        <w:rPr>
          <w:rFonts w:ascii="Arial" w:hAnsi="Arial" w:cs="Arial"/>
          <w:color w:val="auto"/>
          <w:sz w:val="24"/>
          <w:szCs w:val="24"/>
        </w:rPr>
        <w:t xml:space="preserve">calificado como BIC, siendo un interés general que debe gozar de mayor protección a la hora de su comparación con otro únicamente económico. Por lo demás nos remitimos a la acertada argumentación de la juzgadora de instancia, en aras a la brevedad”. </w:t>
      </w:r>
    </w:p>
    <w:p w:rsidR="003050E5" w:rsidRPr="003050E5" w:rsidRDefault="003050E5" w:rsidP="00244AA2">
      <w:pPr>
        <w:pStyle w:val="Cuerpo"/>
        <w:spacing w:line="276" w:lineRule="auto"/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:rsidR="00DB4902" w:rsidRDefault="00DB4902" w:rsidP="00DB4902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4902">
        <w:rPr>
          <w:rFonts w:ascii="Arial" w:hAnsi="Arial" w:cs="Arial"/>
          <w:color w:val="auto"/>
          <w:sz w:val="24"/>
          <w:szCs w:val="24"/>
        </w:rPr>
        <w:t xml:space="preserve">Por todo lo anteriormente expuesto, </w:t>
      </w:r>
      <w:proofErr w:type="gramStart"/>
      <w:r w:rsidRPr="00DB4902">
        <w:rPr>
          <w:rFonts w:ascii="Arial" w:hAnsi="Arial" w:cs="Arial"/>
          <w:color w:val="auto"/>
          <w:sz w:val="24"/>
          <w:szCs w:val="24"/>
        </w:rPr>
        <w:t>la</w:t>
      </w:r>
      <w:proofErr w:type="gramEnd"/>
      <w:r w:rsidRPr="00DB4902">
        <w:rPr>
          <w:rFonts w:ascii="Arial" w:hAnsi="Arial" w:cs="Arial"/>
          <w:color w:val="auto"/>
          <w:sz w:val="24"/>
          <w:szCs w:val="24"/>
        </w:rPr>
        <w:t xml:space="preserve"> concejal que suscribe eleva al Pleno la siguiente</w:t>
      </w:r>
    </w:p>
    <w:p w:rsidR="00DB4902" w:rsidRPr="00DB4902" w:rsidRDefault="00DB4902" w:rsidP="00DB4902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58129B" w:rsidRPr="004E1F8B" w:rsidRDefault="00B63E67" w:rsidP="00DB4902">
      <w:pPr>
        <w:jc w:val="center"/>
        <w:rPr>
          <w:rFonts w:ascii="Arial" w:hAnsi="Arial" w:cs="Arial"/>
          <w:b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MOCIÓN</w:t>
      </w:r>
    </w:p>
    <w:p w:rsidR="00B63E67" w:rsidRPr="004E1F8B" w:rsidRDefault="00DB4902" w:rsidP="008C3797">
      <w:pPr>
        <w:pStyle w:val="Default"/>
        <w:jc w:val="both"/>
        <w:rPr>
          <w:b/>
        </w:rPr>
      </w:pPr>
      <w:r>
        <w:t>Que el Pleno municipal inste al G</w:t>
      </w:r>
      <w:r w:rsidR="00DD3B60" w:rsidRPr="004E1F8B">
        <w:t xml:space="preserve">obierno local </w:t>
      </w:r>
      <w:r w:rsidR="006D75C3">
        <w:t>a que en base al contenido del informe  técnico de intervención urbanística d</w:t>
      </w:r>
      <w:r w:rsidR="004939E3">
        <w:t xml:space="preserve">e fecha 23 de octubre de 2023 </w:t>
      </w:r>
      <w:r w:rsidR="006D75C3">
        <w:t>solicite</w:t>
      </w:r>
      <w:r w:rsidR="00E07937">
        <w:t xml:space="preserve"> un</w:t>
      </w:r>
      <w:r w:rsidR="006D75C3">
        <w:t xml:space="preserve">  nuevo informe del Servicio de Gestión Urbanística en orden a clarificar si el 50,83% ejecutado de la licencia MA 2007/303</w:t>
      </w:r>
      <w:r w:rsidR="00E07937">
        <w:t xml:space="preserve"> a lo largo de estos últimos 17</w:t>
      </w:r>
      <w:r w:rsidR="00636F34">
        <w:t xml:space="preserve"> años</w:t>
      </w:r>
      <w:r w:rsidR="004939E3">
        <w:t xml:space="preserve"> (desde la concesión de la licencia MA303/2007),  12 años (desde la Orden de la Junta </w:t>
      </w:r>
      <w:r>
        <w:t>de gobierno local de 27 de abril</w:t>
      </w:r>
      <w:r w:rsidR="004939E3">
        <w:t xml:space="preserve"> de 2012) y 3 años desde la reiteración de ésta en junio de 2021, </w:t>
      </w:r>
      <w:r w:rsidR="006D75C3">
        <w:t>se estiman suficientes</w:t>
      </w:r>
      <w:r w:rsidR="00E07937">
        <w:t xml:space="preserve"> y no reflejan falta de diligencia o demora injustificada en el desarrollo de la obra que impulsaría la ejecución subsidiaria de las mismas conforme</w:t>
      </w:r>
      <w:r>
        <w:t xml:space="preserve"> a los acuerdos de la Junta de G</w:t>
      </w:r>
      <w:r w:rsidR="00E07937">
        <w:t xml:space="preserve">obierno local amén del resto de antecedentes resumidos en el cuerpo de esta moción. </w:t>
      </w:r>
      <w:r w:rsidR="006D75C3">
        <w:t xml:space="preserve"> </w:t>
      </w:r>
    </w:p>
    <w:p w:rsidR="00B46D01" w:rsidRPr="004E1F8B" w:rsidRDefault="00B46D01" w:rsidP="00202A9C">
      <w:pPr>
        <w:jc w:val="both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</w:p>
    <w:p w:rsidR="00A51A5D" w:rsidRPr="004E1F8B" w:rsidRDefault="002B77C2" w:rsidP="00DB4902">
      <w:pPr>
        <w:jc w:val="center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Cartagena</w:t>
      </w:r>
      <w:r w:rsidR="00DB4902">
        <w:rPr>
          <w:rFonts w:ascii="Arial" w:hAnsi="Arial" w:cs="Arial"/>
          <w:sz w:val="24"/>
          <w:szCs w:val="24"/>
        </w:rPr>
        <w:t>,</w:t>
      </w:r>
      <w:r w:rsidRPr="004E1F8B">
        <w:rPr>
          <w:rFonts w:ascii="Arial" w:hAnsi="Arial" w:cs="Arial"/>
          <w:sz w:val="24"/>
          <w:szCs w:val="24"/>
        </w:rPr>
        <w:t xml:space="preserve"> a</w:t>
      </w:r>
      <w:r w:rsidR="008C3797">
        <w:rPr>
          <w:rFonts w:ascii="Arial" w:hAnsi="Arial" w:cs="Arial"/>
          <w:sz w:val="24"/>
          <w:szCs w:val="24"/>
        </w:rPr>
        <w:t xml:space="preserve"> </w:t>
      </w:r>
      <w:r w:rsidR="00DB4902">
        <w:rPr>
          <w:rFonts w:ascii="Arial" w:hAnsi="Arial" w:cs="Arial"/>
          <w:sz w:val="24"/>
          <w:szCs w:val="24"/>
        </w:rPr>
        <w:t xml:space="preserve">22 </w:t>
      </w:r>
      <w:r w:rsidR="00DA6B13" w:rsidRPr="004E1F8B">
        <w:rPr>
          <w:rFonts w:ascii="Arial" w:hAnsi="Arial" w:cs="Arial"/>
          <w:sz w:val="24"/>
          <w:szCs w:val="24"/>
        </w:rPr>
        <w:t xml:space="preserve">de </w:t>
      </w:r>
      <w:r w:rsidR="008C3797">
        <w:rPr>
          <w:rFonts w:ascii="Arial" w:hAnsi="Arial" w:cs="Arial"/>
          <w:sz w:val="24"/>
          <w:szCs w:val="24"/>
        </w:rPr>
        <w:t xml:space="preserve">febrero </w:t>
      </w:r>
      <w:r w:rsidR="002C36FF">
        <w:rPr>
          <w:rFonts w:ascii="Arial" w:hAnsi="Arial" w:cs="Arial"/>
          <w:sz w:val="24"/>
          <w:szCs w:val="24"/>
        </w:rPr>
        <w:t>de</w:t>
      </w:r>
      <w:r w:rsidR="00E04FC2" w:rsidRPr="004E1F8B">
        <w:rPr>
          <w:rFonts w:ascii="Arial" w:hAnsi="Arial" w:cs="Arial"/>
          <w:sz w:val="24"/>
          <w:szCs w:val="24"/>
        </w:rPr>
        <w:t xml:space="preserve"> 202</w:t>
      </w:r>
      <w:r w:rsidR="002C36FF">
        <w:rPr>
          <w:rFonts w:ascii="Arial" w:hAnsi="Arial" w:cs="Arial"/>
          <w:sz w:val="24"/>
          <w:szCs w:val="24"/>
        </w:rPr>
        <w:t>4</w:t>
      </w:r>
      <w:r w:rsidR="00DB4902">
        <w:rPr>
          <w:rFonts w:ascii="Arial" w:hAnsi="Arial" w:cs="Arial"/>
          <w:sz w:val="24"/>
          <w:szCs w:val="24"/>
        </w:rPr>
        <w:t>.</w:t>
      </w:r>
    </w:p>
    <w:p w:rsidR="00B46D01" w:rsidRPr="004E1F8B" w:rsidRDefault="00B46D01" w:rsidP="00202A9C">
      <w:pPr>
        <w:jc w:val="both"/>
        <w:rPr>
          <w:rFonts w:ascii="Arial" w:hAnsi="Arial" w:cs="Arial"/>
          <w:sz w:val="24"/>
          <w:szCs w:val="24"/>
        </w:rPr>
      </w:pPr>
    </w:p>
    <w:p w:rsidR="00B46D01" w:rsidRDefault="00B46D01" w:rsidP="00202A9C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DB4902" w:rsidRDefault="00DB4902" w:rsidP="00202A9C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DB4902" w:rsidRPr="004E1F8B" w:rsidRDefault="00DB4902" w:rsidP="00202A9C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Fdo.</w:t>
      </w:r>
      <w:r w:rsidR="00DA6B13" w:rsidRPr="004E1F8B">
        <w:rPr>
          <w:rFonts w:ascii="Arial" w:hAnsi="Arial" w:cs="Arial"/>
          <w:sz w:val="24"/>
          <w:szCs w:val="24"/>
        </w:rPr>
        <w:t xml:space="preserve"> Jesús Giménez Gallo</w:t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="00DB4902">
        <w:rPr>
          <w:rFonts w:ascii="Arial" w:hAnsi="Arial" w:cs="Arial"/>
          <w:sz w:val="24"/>
          <w:szCs w:val="24"/>
        </w:rPr>
        <w:t xml:space="preserve">           </w:t>
      </w:r>
      <w:r w:rsidRPr="004E1F8B">
        <w:rPr>
          <w:rFonts w:ascii="Arial" w:hAnsi="Arial" w:cs="Arial"/>
          <w:sz w:val="24"/>
          <w:szCs w:val="24"/>
        </w:rPr>
        <w:t>Fdo. María Dolores Ruiz Álvarez</w:t>
      </w:r>
    </w:p>
    <w:p w:rsidR="00B46D01" w:rsidRPr="004E1F8B" w:rsidRDefault="00DB4902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B46D01" w:rsidRPr="004E1F8B">
        <w:rPr>
          <w:rFonts w:ascii="Arial" w:hAnsi="Arial" w:cs="Arial"/>
          <w:sz w:val="24"/>
          <w:szCs w:val="24"/>
        </w:rPr>
        <w:t xml:space="preserve">unicipal MC       </w:t>
      </w:r>
      <w:r>
        <w:rPr>
          <w:rFonts w:ascii="Arial" w:hAnsi="Arial" w:cs="Arial"/>
          <w:sz w:val="24"/>
          <w:szCs w:val="24"/>
        </w:rPr>
        <w:t xml:space="preserve">                               Concejal Grupo m</w:t>
      </w:r>
      <w:r w:rsidR="00B46D01" w:rsidRPr="004E1F8B">
        <w:rPr>
          <w:rFonts w:ascii="Arial" w:hAnsi="Arial" w:cs="Arial"/>
          <w:sz w:val="24"/>
          <w:szCs w:val="24"/>
        </w:rPr>
        <w:t>unicipal MC</w:t>
      </w: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eastAsia="Arial" w:hAnsi="Arial" w:cs="Arial"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3637C1" w:rsidRPr="004E1F8B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4E1F8B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AF0"/>
    <w:multiLevelType w:val="hybridMultilevel"/>
    <w:tmpl w:val="C95A21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35B2A"/>
    <w:multiLevelType w:val="hybridMultilevel"/>
    <w:tmpl w:val="88AA63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A6EE5"/>
    <w:multiLevelType w:val="hybridMultilevel"/>
    <w:tmpl w:val="A9303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43A53"/>
    <w:multiLevelType w:val="hybridMultilevel"/>
    <w:tmpl w:val="6E2273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12423"/>
    <w:rsid w:val="001345B2"/>
    <w:rsid w:val="00196A18"/>
    <w:rsid w:val="001A7070"/>
    <w:rsid w:val="001B10B2"/>
    <w:rsid w:val="001E6DB9"/>
    <w:rsid w:val="001F2ECA"/>
    <w:rsid w:val="00202A9C"/>
    <w:rsid w:val="002105FB"/>
    <w:rsid w:val="002108A7"/>
    <w:rsid w:val="00213A71"/>
    <w:rsid w:val="00244AA2"/>
    <w:rsid w:val="00260FC1"/>
    <w:rsid w:val="002B77C2"/>
    <w:rsid w:val="002C36FF"/>
    <w:rsid w:val="002D37C8"/>
    <w:rsid w:val="002F3E0E"/>
    <w:rsid w:val="003050E5"/>
    <w:rsid w:val="003203C4"/>
    <w:rsid w:val="003637C1"/>
    <w:rsid w:val="003716B2"/>
    <w:rsid w:val="00386471"/>
    <w:rsid w:val="00387843"/>
    <w:rsid w:val="003C12F4"/>
    <w:rsid w:val="003C65BD"/>
    <w:rsid w:val="003D093A"/>
    <w:rsid w:val="004279AE"/>
    <w:rsid w:val="00447BC4"/>
    <w:rsid w:val="00455DBC"/>
    <w:rsid w:val="004825BD"/>
    <w:rsid w:val="004939E3"/>
    <w:rsid w:val="004B6375"/>
    <w:rsid w:val="004C451E"/>
    <w:rsid w:val="004E1F8B"/>
    <w:rsid w:val="00547A21"/>
    <w:rsid w:val="00576529"/>
    <w:rsid w:val="0058129B"/>
    <w:rsid w:val="0059673D"/>
    <w:rsid w:val="005C34F2"/>
    <w:rsid w:val="005C6E95"/>
    <w:rsid w:val="00612C1A"/>
    <w:rsid w:val="00636F34"/>
    <w:rsid w:val="00647AB1"/>
    <w:rsid w:val="006666A2"/>
    <w:rsid w:val="00681B70"/>
    <w:rsid w:val="006851B9"/>
    <w:rsid w:val="00690DE7"/>
    <w:rsid w:val="006D75C3"/>
    <w:rsid w:val="00700F6C"/>
    <w:rsid w:val="00716B6A"/>
    <w:rsid w:val="00726AE8"/>
    <w:rsid w:val="007863FE"/>
    <w:rsid w:val="00791C5A"/>
    <w:rsid w:val="00792DF4"/>
    <w:rsid w:val="0079415A"/>
    <w:rsid w:val="00794A0E"/>
    <w:rsid w:val="007D6D30"/>
    <w:rsid w:val="007F5EA0"/>
    <w:rsid w:val="00806912"/>
    <w:rsid w:val="00806D86"/>
    <w:rsid w:val="00812ED3"/>
    <w:rsid w:val="00834B5F"/>
    <w:rsid w:val="00845F3F"/>
    <w:rsid w:val="00874031"/>
    <w:rsid w:val="00885213"/>
    <w:rsid w:val="008965D7"/>
    <w:rsid w:val="008C22B1"/>
    <w:rsid w:val="008C3797"/>
    <w:rsid w:val="00921AE4"/>
    <w:rsid w:val="009253EA"/>
    <w:rsid w:val="009275B7"/>
    <w:rsid w:val="00937BDF"/>
    <w:rsid w:val="00971155"/>
    <w:rsid w:val="00971FC2"/>
    <w:rsid w:val="009955D5"/>
    <w:rsid w:val="009B6FFF"/>
    <w:rsid w:val="00A02032"/>
    <w:rsid w:val="00A049FA"/>
    <w:rsid w:val="00A51A5D"/>
    <w:rsid w:val="00A8300B"/>
    <w:rsid w:val="00A92821"/>
    <w:rsid w:val="00AC53E1"/>
    <w:rsid w:val="00AD318E"/>
    <w:rsid w:val="00AD5E73"/>
    <w:rsid w:val="00AE0BFA"/>
    <w:rsid w:val="00AE4255"/>
    <w:rsid w:val="00AF61A8"/>
    <w:rsid w:val="00B15B9B"/>
    <w:rsid w:val="00B2082F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47C43"/>
    <w:rsid w:val="00C51A89"/>
    <w:rsid w:val="00CA75DF"/>
    <w:rsid w:val="00CE53A3"/>
    <w:rsid w:val="00D26357"/>
    <w:rsid w:val="00D30FD3"/>
    <w:rsid w:val="00D426A4"/>
    <w:rsid w:val="00D72CF0"/>
    <w:rsid w:val="00DA6B13"/>
    <w:rsid w:val="00DB1B3A"/>
    <w:rsid w:val="00DB4902"/>
    <w:rsid w:val="00DC1528"/>
    <w:rsid w:val="00DD3B60"/>
    <w:rsid w:val="00DD79A0"/>
    <w:rsid w:val="00E04252"/>
    <w:rsid w:val="00E04FC2"/>
    <w:rsid w:val="00E073A5"/>
    <w:rsid w:val="00E07937"/>
    <w:rsid w:val="00E107CE"/>
    <w:rsid w:val="00E347E5"/>
    <w:rsid w:val="00E5293D"/>
    <w:rsid w:val="00E73801"/>
    <w:rsid w:val="00EB44EA"/>
    <w:rsid w:val="00EC730F"/>
    <w:rsid w:val="00EE390C"/>
    <w:rsid w:val="00F04AF5"/>
    <w:rsid w:val="00F37341"/>
    <w:rsid w:val="00F91362"/>
    <w:rsid w:val="00FB4E84"/>
    <w:rsid w:val="00FC09FA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Default">
    <w:name w:val="Default"/>
    <w:rsid w:val="00937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Default">
    <w:name w:val="Default"/>
    <w:rsid w:val="00937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2024-02-28T09:53:00Z</dcterms:created>
  <dcterms:modified xsi:type="dcterms:W3CDTF">2024-02-28T09:53:00Z</dcterms:modified>
</cp:coreProperties>
</file>