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CONCEJAL DEL GRUPO MUNICIPAL SOCIALISTA DEL AYUNTAMIENTO DE CARTAGENA, SOBRE EQUILIBRIO PRESUPUESTARIO</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El pasado 14 de diciembre el Ayuntamiento de Cartagena aprobó sus presupuestos para el año 2024, condicionados a la aprobación de los Presupuestos Generales del Estado, que establecerá el margen presupuestario financiero que deben cumplir las Administraciones.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aplicación de la Ley 2/2012, de 27 de abril, de Estabilidad Presupuestaria y sostenibilidad Financiera (LOEPSF) y conforme a su artículo 15 el Consejo de Ministros aprobó, el pasado 12 de diciembre de 2023, el acuerdo por el que se fijan los objetivos de estabilidad presupuestaria y de deuda pública para el conjunto de Administraciones Públicas y de cada uno de sus subsectores, para el período 2024-2026, así como el límite de gasto no financiero del presupuesto del Estado para 2024.</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dicho acuerdo se fija un objetivo de déficit para el conjunto de Administraciones del Estado del 3% del PIB en 2024 (2,7% en 2025 y 2,5% en 2026). Un acuerdo y unos objetivos, recordemos, que han sido aprobados por Bruselas.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documento, que recibió la aprobación de Bruselas, recoge el objetivo del 3% de déficit repartido por subsectores de una forma más estricta para Comunidades Autónomas y Entidades Locales, exigiendo a Comunidades Autónomas equilibrio presupuestario y a las Entidades Locales un superávit presupuestario de +0,2%.</w:t>
      </w:r>
    </w:p>
    <w:p>
      <w:pPr>
        <w:pStyle w:val="Normal"/>
        <w:spacing w:lineRule="auto" w:line="360"/>
        <w:jc w:val="both"/>
        <w:rPr/>
      </w:pPr>
      <w:r>
        <w:rPr>
          <w:b w:val="false"/>
          <w:bCs w:val="false"/>
        </w:rPr>
        <w:t>El Gobierno de España ha intentado durante estos años de gobierno dar mayor margen de financiación a las Comunidades Autónomas, que son quienes garantizan el Estado de bienestar. Son las competentes en prestar los servicios públicos básicos de Sanidad, Educación y Protección Social. Y, en este mismo sentido, se ha llevado a aprobación una senda de estabilidad que supone una flexibilización en las metas para Comunidades Autónomas y Entidades Locales.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De este modo, frente al objetivo inicial de equilibrio presupuestario para el conjunto de las CCAA, se plantea un déficit del 0,1% en 2024, tal y como se propuso en el Consejo de Política Fiscal y Financiera, obteniendo informe favorable en su sesión de 11 de diciembre. En las Entidades Locales, tal como se propuso en la Comisión Nacional de Administración Local (CNAL), los ayuntamientos y demás entes locales ya no tendrían que alcanzar un superávit del 0,2% en 2024 y se situarían en el equilibrio presupuestario.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Se trata por tanto de un margen adicional para CCAA y Entidades Locales de tres décimas más, equivalente a más de 4.570 millones de euros (4.573,2 millones), que recaen sobre la Administración General del Estado.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 </w:t>
      </w:r>
      <w:r>
        <w:rPr>
          <w:b w:val="false"/>
          <w:bCs w:val="false"/>
        </w:rPr>
        <w:t>Una décima más de margen para las CCAA: más de 1.500 millones de euros adicionales de margen presupuestario.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 </w:t>
      </w:r>
      <w:r>
        <w:rPr>
          <w:b w:val="false"/>
          <w:bCs w:val="false"/>
        </w:rPr>
        <w:t>Dos décimas más de margen para las Entidades Locales: más de 3 mil millones de euros adicionales de margen presupuestario.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Pero pese a la flexibilización para CCAA y Entidades Locales que estas medidas significan, el PP tanto en el Congreso de los Diputados como en el Senado ha unido sus votos con los de la extrema derecha para rechazar estos acuerdos, a pesar de que a quien más perjudica con ello es a los gobiernos autonómicos y locales.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 decir, el PP vota en contra de un acuerdo del Gobierno de España, que claramente perjudica los intereses económicos de nuestro ayuntamiento y, por ende, de los más de 215.000 vecinos de Cartagena.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senda de estabilidad propuesta se ha aprobado en el Congreso dos veces, el 10 de enero y nuevamente, el 29 de febrero, con el voto en contra del PP. Al ser rechazados, en su primer intento, en el Senado, el Gobierno presentó de nuevo los objetivos de estabilidad a ambas Cámaras, conforme a lo dispuesto en el artículo 15.6 de la LOEPSF, volviendo a ser rechazado en el Senado, en segunda vuelta. De esta manera los objetivos de déficit para Administración Central, Comunidades Autónomas y Entidades Locales serán finalmente los fijados en el Programa de Estabilidad del mes de abril, que cuenta ya con la aprobación de las autoridades europeas.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 decir, el resultado de un nuevo rechazo del PP y Vox en el Senado a la senda de estabilidad, conlleva la reducción de la capacidad de financiación vía déficit que tendrán CCAA y Entidades Locales, en concreto, para este Ayuntamiento supone más de 500.000 euros.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Una reducción de la capacidad de gasto que tendrá el ayuntamiento de Cartagena en sus cuentas públicas, pues tendrán que pasar a contemplar en ellas ahora un superávit del 0,2% en 2024. Situación que claramente perjudicará a nuestros vecinos.</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1. Manifieste su apoyo al acuerdo del Gobierno por el que se fijan los objetivos de estabilidad presupuestaria y de deuda pública para el conjunto de Administraciones Públicas y de cada uno de sus subsectores para el periodo 2024-2026 y el límite de gasto no financiero del presupuesto del Estado para el año 2024, así como al Plan de Reequilibrio elaborado por el Gobierno de España, que contempla el equilibrio presupuestario en la Administración Local para 2024.</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 xml:space="preserve">2. Inste al Gobierno Municipal a que informe de las consecuencias previsibles del boicot del PP a la senda de estabilidad en los Presupuestos municipales.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 xml:space="preserve">3. Exija que el Gobierno municipal explique por qué los partidos que lo sustentan han otorgado menos capacidad de gasto en las competencias que les son propias a las entidades locales, y que impactan en el bienestar de la ciudadanía y en el tejido productivo local. </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12 de marzo de 202</w:t>
      </w:r>
      <w:r>
        <w:rPr>
          <w:b/>
          <w:bCs/>
        </w:rPr>
        <w:t>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bCs/>
        </w:rPr>
        <w:t xml:space="preserve"> </w:t>
      </w:r>
      <w:r>
        <w:rPr>
          <w:b/>
          <w:bCs/>
        </w:rPr>
        <w:t>Manuel Torres García</w:t>
        <w:tab/>
        <w:tab/>
        <w:tab/>
        <w:tab/>
        <w:t xml:space="preserve">Pedro Contreras Fernández  </w:t>
      </w:r>
      <w:r>
        <w:rPr>
          <w:b w:val="false"/>
          <w:bCs w:val="false"/>
        </w:rPr>
        <w:t xml:space="preserve">                  </w:t>
      </w:r>
    </w:p>
    <w:p>
      <w:pPr>
        <w:pStyle w:val="Normal"/>
        <w:spacing w:lineRule="auto" w:line="360"/>
        <w:jc w:val="center"/>
        <w:rPr>
          <w:b/>
          <w:bCs/>
        </w:rPr>
      </w:pPr>
      <w:r>
        <w:rPr>
          <w:b w:val="false"/>
          <w:bCs w:val="false"/>
        </w:rPr>
        <w:t xml:space="preserve"> </w:t>
      </w:r>
      <w:r>
        <w:rPr>
          <w:b w:val="false"/>
          <w:bCs w:val="false"/>
        </w:rPr>
        <w:t xml:space="preserve">Concejal del Grupo Municipal Socialista              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Application>LibreOffice/7.5.1.2$Windows_X86_64 LibreOffice_project/fcbaee479e84c6cd81291587d2ee68cba099e129</Application>
  <AppVersion>15.0000</AppVersion>
  <Pages>4</Pages>
  <Words>960</Words>
  <Characters>5026</Characters>
  <CharactersWithSpaces>6033</CharactersWithSpaces>
  <Paragraphs>27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2024-03-12T11:47:21Z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