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17" w:right="-7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87793" cy="7040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/>
          <w:sz w:val="25"/>
        </w:rPr>
      </w:pPr>
      <w:r>
        <w:rPr/>
        <w:br w:type="column"/>
      </w:r>
      <w:r>
        <w:rPr>
          <w:rFonts w:ascii="Tahoma"/>
          <w:sz w:val="25"/>
        </w:rPr>
      </w:r>
    </w:p>
    <w:p>
      <w:pPr>
        <w:pStyle w:val="BodyText"/>
        <w:rPr>
          <w:rFonts w:ascii="Tahoma"/>
          <w:sz w:val="25"/>
        </w:rPr>
      </w:pPr>
    </w:p>
    <w:p>
      <w:pPr>
        <w:pStyle w:val="BodyText"/>
        <w:spacing w:before="286"/>
        <w:rPr>
          <w:rFonts w:ascii="Tahoma"/>
          <w:sz w:val="2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6298474</wp:posOffset>
            </wp:positionH>
            <wp:positionV relativeFrom="paragraph">
              <wp:posOffset>-519560</wp:posOffset>
            </wp:positionV>
            <wp:extent cx="680541" cy="64770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pacing w:val="-4"/>
        </w:rPr>
        <w:t>Grupo Municipal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Mixto</w:t>
      </w:r>
      <w:r>
        <w:rPr>
          <w:color w:val="000009"/>
          <w:spacing w:val="-3"/>
        </w:rPr>
        <w:t> </w:t>
      </w:r>
      <w:r>
        <w:rPr>
          <w:color w:val="000009"/>
          <w:spacing w:val="-4"/>
        </w:rPr>
        <w:t>Sí</w:t>
      </w:r>
      <w:r>
        <w:rPr>
          <w:color w:val="000009"/>
          <w:spacing w:val="-5"/>
        </w:rPr>
        <w:t> </w:t>
      </w:r>
      <w:r>
        <w:rPr>
          <w:color w:val="000009"/>
          <w:spacing w:val="-4"/>
        </w:rPr>
        <w:t>Cartagena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32"/>
            <w:col w:w="6592"/>
          </w:cols>
        </w:sectPr>
      </w:pPr>
    </w:p>
    <w:p>
      <w:pPr>
        <w:pStyle w:val="BodyText"/>
        <w:spacing w:before="48"/>
        <w:rPr>
          <w:b/>
          <w:i/>
        </w:rPr>
      </w:pPr>
    </w:p>
    <w:p>
      <w:pPr>
        <w:pStyle w:val="Heading1"/>
        <w:spacing w:line="247" w:lineRule="auto"/>
        <w:ind w:left="1651" w:right="2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-938273</wp:posOffset>
                </wp:positionV>
                <wp:extent cx="209550" cy="12414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-73.879837pt;width:16.5pt;height:97.75pt;mso-position-horizontal-relative:page;mso-position-vertical-relative:paragraph;z-index:15730688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19/04/2024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ANA BELÉN CASTEJÓN HERNÁNDEZ, PORTAVOZ DEL GRUPO MUNICIPAL</w:t>
      </w:r>
      <w:r>
        <w:rPr>
          <w:spacing w:val="40"/>
        </w:rPr>
        <w:t> </w:t>
      </w:r>
      <w:r>
        <w:rPr/>
        <w:t>MIXTO “SÍ CARTAGENA” PRESENTA LA SIGUIENTE PREGUNTA SOBRE: COSTE TOTAL QUE ASUMIRÁ CADA JUNTA VECINAL.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5" name="Image 5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16:48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55232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19/04/2024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16:48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55232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spacing w:line="249" w:lineRule="auto" w:before="106"/>
        <w:ind w:left="122" w:right="293" w:firstLine="0"/>
        <w:jc w:val="both"/>
        <w:rPr>
          <w:sz w:val="21"/>
        </w:rPr>
      </w:pPr>
      <w:r>
        <w:rPr/>
        <w:br w:type="column"/>
      </w:r>
      <w:r>
        <w:rPr>
          <w:color w:val="000009"/>
          <w:sz w:val="21"/>
        </w:rPr>
        <w:t>El Gobierno local de Cartagena anunció públicamente el pasado 10 de marzo que estaba “</w:t>
      </w:r>
      <w:r>
        <w:rPr>
          <w:i/>
          <w:color w:val="000009"/>
          <w:sz w:val="21"/>
        </w:rPr>
        <w:t>elaborando un proyecto para tejer una red de cámaras de videovigilancia en el municipio, que supondría la instalación de cámaras de seguridad en zonas de interés policial de barrios y diputaciones, para aumentar la seguridad en barrios y diputaciones</w:t>
      </w:r>
      <w:r>
        <w:rPr>
          <w:color w:val="000009"/>
          <w:sz w:val="21"/>
        </w:rPr>
        <w:t>”.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spacing w:line="247" w:lineRule="auto"/>
        <w:ind w:left="122" w:right="282"/>
        <w:jc w:val="both"/>
      </w:pPr>
      <w:r>
        <w:rPr>
          <w:color w:val="000009"/>
        </w:rPr>
        <w:t>Desde Sí Cartagena consideramos </w:t>
      </w:r>
      <w:r>
        <w:rPr/>
        <w:t>que por supuesto que hay que aumentar la seguridad en</w:t>
      </w:r>
      <w:r>
        <w:rPr>
          <w:spacing w:val="40"/>
        </w:rPr>
        <w:t> </w:t>
      </w:r>
      <w:r>
        <w:rPr/>
        <w:t>nuestros pueblos y barrios y apostar por cada iniciativa encaminada a velar por la seguridad de los ciudadanos pero no a</w:t>
      </w:r>
      <w:r>
        <w:rPr>
          <w:spacing w:val="-1"/>
        </w:rPr>
        <w:t> </w:t>
      </w:r>
      <w:r>
        <w:rPr/>
        <w:t>costa</w:t>
      </w:r>
      <w:r>
        <w:rPr>
          <w:spacing w:val="-1"/>
        </w:rPr>
        <w:t> </w:t>
      </w:r>
      <w:r>
        <w:rPr/>
        <w:t>de retenerles presupuesto a</w:t>
      </w:r>
      <w:r>
        <w:rPr>
          <w:spacing w:val="-1"/>
        </w:rPr>
        <w:t> </w:t>
      </w:r>
      <w:r>
        <w:rPr/>
        <w:t>las juntas vecinales.</w:t>
      </w:r>
      <w:r>
        <w:rPr>
          <w:spacing w:val="-2"/>
        </w:rPr>
        <w:t> </w:t>
      </w:r>
      <w:r>
        <w:rPr/>
        <w:t>Pues esta</w:t>
      </w:r>
      <w:r>
        <w:rPr>
          <w:spacing w:val="-1"/>
        </w:rPr>
        <w:t> </w:t>
      </w:r>
      <w:r>
        <w:rPr/>
        <w:t>actuación no deben asumirla, en ningún caso, las Juntas Vecinales que han tenido </w:t>
      </w:r>
      <w:r>
        <w:rPr>
          <w:color w:val="000009"/>
        </w:rPr>
        <w:t>que detraer la cuantía de 5.000€ de sus presupuestos para que el gobierno local resuelva un problema de seguridad que es</w:t>
      </w:r>
      <w:r>
        <w:rPr>
          <w:color w:val="000009"/>
          <w:spacing w:val="40"/>
        </w:rPr>
        <w:t> </w:t>
      </w:r>
      <w:r>
        <w:rPr>
          <w:color w:val="000009"/>
        </w:rPr>
        <w:t>de su propia competencia y responsabilidad.</w:t>
      </w:r>
    </w:p>
    <w:p>
      <w:pPr>
        <w:pStyle w:val="BodyText"/>
        <w:spacing w:before="64"/>
      </w:pPr>
    </w:p>
    <w:p>
      <w:pPr>
        <w:pStyle w:val="BodyText"/>
        <w:spacing w:line="249" w:lineRule="auto"/>
        <w:ind w:left="122" w:right="288"/>
        <w:jc w:val="both"/>
      </w:pPr>
      <w:r>
        <w:rPr/>
        <w:t>También nos surgen muchas dudas acerca de cómo se va a acometer el procedimiento y otras cuestiones más al respecto.</w:t>
      </w:r>
    </w:p>
    <w:p>
      <w:pPr>
        <w:pStyle w:val="BodyText"/>
        <w:spacing w:before="113"/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6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suscribe</w:t>
      </w:r>
      <w:r>
        <w:rPr>
          <w:spacing w:val="-3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Pleno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2"/>
        </w:rPr>
        <w:t>siguiente,</w:t>
      </w:r>
    </w:p>
    <w:p>
      <w:pPr>
        <w:pStyle w:val="BodyText"/>
        <w:spacing w:before="118"/>
      </w:pPr>
    </w:p>
    <w:p>
      <w:pPr>
        <w:pStyle w:val="Heading1"/>
        <w:ind w:right="169"/>
        <w:jc w:val="center"/>
      </w:pPr>
      <w:r>
        <w:rPr>
          <w:spacing w:val="-2"/>
        </w:rPr>
        <w:t>PREGUNTA</w:t>
      </w:r>
    </w:p>
    <w:p>
      <w:pPr>
        <w:pStyle w:val="BodyText"/>
        <w:spacing w:before="79"/>
        <w:rPr>
          <w:b/>
        </w:rPr>
      </w:pPr>
    </w:p>
    <w:p>
      <w:pPr>
        <w:pStyle w:val="BodyText"/>
        <w:spacing w:line="249" w:lineRule="auto"/>
        <w:ind w:left="122" w:right="293"/>
        <w:jc w:val="both"/>
      </w:pPr>
      <w:r>
        <w:rPr/>
        <w:t>¿Cada junta vecinal municipal asumirá el coste total de la adquisición e instalación de cámaras de videovigilancia que se efectúen en cada uno de sus barrios o pueblos?; de ser así ¿todos los barrios</w:t>
      </w:r>
      <w:r>
        <w:rPr>
          <w:spacing w:val="40"/>
        </w:rPr>
        <w:t> </w:t>
      </w:r>
      <w:r>
        <w:rPr/>
        <w:t>y diputaciones aportan idéntica cantidad de 5.000€?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62"/>
        <w:rPr>
          <w:sz w:val="20"/>
        </w:rPr>
      </w:pPr>
    </w:p>
    <w:p>
      <w:pPr>
        <w:spacing w:line="211" w:lineRule="auto" w:before="1"/>
        <w:ind w:left="1844" w:right="0" w:firstLine="0"/>
        <w:jc w:val="left"/>
        <w:rPr>
          <w:rFonts w:ascii="Courier New"/>
          <w:sz w:val="20"/>
        </w:rPr>
      </w:pPr>
      <w:r>
        <w:rPr>
          <w:rFonts w:ascii="Courier New"/>
          <w:spacing w:val="-2"/>
          <w:sz w:val="20"/>
        </w:rPr>
        <w:t>Firmado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por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ANA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2"/>
          <w:sz w:val="20"/>
        </w:rPr>
        <w:t>BELEN </w:t>
      </w:r>
      <w:r>
        <w:rPr>
          <w:rFonts w:ascii="Courier New"/>
          <w:sz w:val="20"/>
        </w:rPr>
        <w:t>CASTEJON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HERNANDEZ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-</w:t>
      </w:r>
    </w:p>
    <w:p>
      <w:pPr>
        <w:spacing w:line="211" w:lineRule="auto" w:before="0"/>
        <w:ind w:left="1844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DNI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pacing w:val="-2"/>
          <w:sz w:val="20"/>
        </w:rPr>
        <w:t>***2422**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pacing w:val="-2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2"/>
          <w:sz w:val="20"/>
        </w:rPr>
        <w:t>día </w:t>
      </w:r>
      <w:r>
        <w:rPr>
          <w:rFonts w:ascii="Courier New" w:hAnsi="Courier New"/>
          <w:sz w:val="20"/>
        </w:rPr>
        <w:t>19/04/2024 con un certificado</w:t>
      </w:r>
      <w:r>
        <w:rPr>
          <w:rFonts w:ascii="Courier New" w:hAnsi="Courier New"/>
          <w:spacing w:val="-2"/>
          <w:sz w:val="20"/>
        </w:rPr>
        <w:t> </w:t>
      </w:r>
      <w:r>
        <w:rPr>
          <w:rFonts w:ascii="Courier New" w:hAnsi="Courier New"/>
          <w:sz w:val="20"/>
        </w:rPr>
        <w:t>emitido por ACCVCA-120</w:t>
      </w:r>
    </w:p>
    <w:p>
      <w:pPr>
        <w:spacing w:before="100"/>
        <w:ind w:left="4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Cartagena,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19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abril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9"/>
        <w:rPr>
          <w:b/>
          <w:sz w:val="20"/>
        </w:rPr>
      </w:pPr>
    </w:p>
    <w:p>
      <w:pPr>
        <w:spacing w:before="0"/>
        <w:ind w:left="376" w:right="2644" w:firstLine="8"/>
        <w:jc w:val="left"/>
        <w:rPr>
          <w:sz w:val="20"/>
        </w:rPr>
      </w:pPr>
      <w:r>
        <w:rPr>
          <w:spacing w:val="-4"/>
          <w:sz w:val="20"/>
        </w:rPr>
        <w:t>Fdo: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Belén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Castejón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Hernández Portavoz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G.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Mixto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“Sí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Cartagena”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4276" w:space="40"/>
            <w:col w:w="6804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91104" id="docshape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Heading1"/>
        <w:spacing w:before="1"/>
        <w:ind w:left="2127"/>
      </w:pPr>
      <w:r>
        <w:rPr>
          <w:color w:val="000009"/>
        </w:rPr>
        <w:t>EXCMA</w:t>
      </w:r>
      <w:r>
        <w:rPr>
          <w:color w:val="000009"/>
          <w:spacing w:val="-4"/>
        </w:rPr>
        <w:t> </w:t>
      </w:r>
      <w:r>
        <w:rPr>
          <w:color w:val="000009"/>
        </w:rPr>
        <w:t>SRA.</w:t>
      </w:r>
      <w:r>
        <w:rPr>
          <w:color w:val="000009"/>
          <w:spacing w:val="-4"/>
        </w:rPr>
        <w:t> </w:t>
      </w:r>
      <w:r>
        <w:rPr>
          <w:color w:val="000009"/>
        </w:rPr>
        <w:t>ALCALDESA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4"/>
        </w:rPr>
        <w:t> </w:t>
      </w:r>
      <w:r>
        <w:rPr>
          <w:color w:val="000009"/>
        </w:rPr>
        <w:t>AYUNTAMIENTO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CARTAGENA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67"/>
        <w:rPr>
          <w:b/>
          <w:sz w:val="14"/>
        </w:rPr>
      </w:pPr>
    </w:p>
    <w:p>
      <w:pPr>
        <w:tabs>
          <w:tab w:pos="6833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1004039</wp:posOffset>
            </wp:positionH>
            <wp:positionV relativeFrom="paragraph">
              <wp:posOffset>46532</wp:posOffset>
            </wp:positionV>
            <wp:extent cx="579240" cy="579240"/>
            <wp:effectExtent l="0" t="0" r="0" b="0"/>
            <wp:wrapNone/>
            <wp:docPr id="8" name="Image 8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pacing w:val="-2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A3XQ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PR4V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A72K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VZQZ</w:t>
        </w:r>
      </w:hyperlink>
    </w:p>
    <w:p>
      <w:pPr>
        <w:pStyle w:val="BodyText"/>
        <w:spacing w:before="83"/>
        <w:rPr>
          <w:rFonts w:ascii="Arial"/>
          <w:b/>
          <w:sz w:val="16"/>
        </w:rPr>
      </w:pPr>
    </w:p>
    <w:p>
      <w:pPr>
        <w:spacing w:before="1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coste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total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cada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Junta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Vecinal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adquisición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instalación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cámaras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seguridad_signed</w:t>
        </w:r>
      </w:hyperlink>
    </w:p>
    <w:p>
      <w:pPr>
        <w:pStyle w:val="BodyText"/>
        <w:spacing w:before="99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8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pacing w:val="-2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7101247&amp;csv=H2AAA3XQPR4VA72KVZQZ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101248&amp;csv=H2AAA3XQPR4VA72KVZQZ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A3XQPR4VA72KVZQZ" TargetMode="External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CSV=H2AAA3XQPR4VA72KVZQZ</dc:subject>
  <dc:title>Pregunta sobre coste total de cada Junta Vecinal de adquisición e instalación cámaras de seguridad_signed</dc:title>
  <dcterms:created xsi:type="dcterms:W3CDTF">2024-04-23T08:06:36Z</dcterms:created>
  <dcterms:modified xsi:type="dcterms:W3CDTF">2024-04-23T08:06:36Z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