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GARCÍA, PORTAVOZ DEL GRUPO MUNICIPAL SOCIALISTA DEL AYUNTAMIENTO DE CARTAGENA, SOBRE EL ATAQUE A LA ONG WOR</w:t>
      </w:r>
      <w:r>
        <w:rPr>
          <w:rFonts w:ascii="Georgia" w:hAnsi="Georgia"/>
          <w:b/>
          <w:bCs/>
        </w:rPr>
        <w:t>L</w:t>
      </w:r>
      <w:r>
        <w:rPr>
          <w:rFonts w:ascii="Georgia" w:hAnsi="Georgia"/>
          <w:b/>
          <w:bCs/>
        </w:rPr>
        <w:t xml:space="preserve">D CENTRAL KITCHEN </w:t>
      </w:r>
    </w:p>
    <w:p>
      <w:pPr>
        <w:pStyle w:val="Normal"/>
        <w:spacing w:lineRule="auto" w:line="360"/>
        <w:jc w:val="both"/>
        <w:rPr>
          <w:rFonts w:ascii="Georgia" w:hAnsi="Georgia"/>
        </w:rPr>
      </w:pPr>
      <w:r>
        <w:rPr>
          <w:rFonts w:ascii="Georgia" w:hAnsi="Georgia"/>
        </w:rPr>
      </w:r>
    </w:p>
    <w:p>
      <w:pPr>
        <w:pStyle w:val="Normal"/>
        <w:spacing w:lineRule="auto" w:line="360" w:before="57" w:after="57"/>
        <w:jc w:val="center"/>
        <w:rPr/>
      </w:pPr>
      <w:r>
        <w:rPr>
          <w:b/>
          <w:bCs/>
        </w:rPr>
        <w:t>Exposición de Motivos</w:t>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Israel ejecutó el lunes 1 de abril un injustificable ataque en la franja de Gaza contra la caravana de ayuda humanitaria de la ONG Wor</w:t>
      </w:r>
      <w:r>
        <w:rPr>
          <w:rFonts w:eastAsia="MS Mincho" w:cs="Times New Roman" w:ascii="Cambria" w:hAnsi="Cambria"/>
          <w:b w:val="false"/>
          <w:bCs w:val="false"/>
          <w:color w:val="auto"/>
          <w:kern w:val="0"/>
          <w:sz w:val="24"/>
          <w:szCs w:val="24"/>
          <w:lang w:val="es-ES_tradnl" w:eastAsia="es-ES" w:bidi="ar-SA"/>
        </w:rPr>
        <w:t>l</w:t>
      </w:r>
      <w:r>
        <w:rPr>
          <w:rFonts w:eastAsia="MS Mincho" w:cs="Times New Roman" w:ascii="Cambria" w:hAnsi="Cambria"/>
          <w:b w:val="false"/>
          <w:bCs w:val="false"/>
          <w:color w:val="auto"/>
          <w:kern w:val="0"/>
          <w:sz w:val="24"/>
          <w:szCs w:val="24"/>
          <w:lang w:val="es-ES_tradnl" w:eastAsia="es-ES" w:bidi="ar-SA"/>
        </w:rPr>
        <w:t xml:space="preserve">d Central Kitchen, fundada por el chef español José Andrés, que viajaba con comida para paliar las necesidades de miles de gazatíes.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 xml:space="preserve">Un ataque en el que </w:t>
      </w:r>
      <w:r>
        <w:rPr>
          <w:rFonts w:eastAsia="MS Mincho" w:cs="Times New Roman" w:ascii="Cambria" w:hAnsi="Cambria"/>
          <w:b w:val="false"/>
          <w:bCs w:val="false"/>
          <w:color w:val="auto"/>
          <w:kern w:val="0"/>
          <w:sz w:val="24"/>
          <w:szCs w:val="24"/>
          <w:lang w:val="es-ES_tradnl" w:eastAsia="es-ES" w:bidi="ar-SA"/>
        </w:rPr>
        <w:t>perdieron</w:t>
      </w:r>
      <w:r>
        <w:rPr>
          <w:rFonts w:eastAsia="MS Mincho" w:cs="Times New Roman" w:ascii="Cambria" w:hAnsi="Cambria"/>
          <w:b w:val="false"/>
          <w:bCs w:val="false"/>
          <w:color w:val="auto"/>
          <w:kern w:val="0"/>
          <w:sz w:val="24"/>
          <w:szCs w:val="24"/>
          <w:lang w:val="es-ES_tradnl" w:eastAsia="es-ES" w:bidi="ar-SA"/>
        </w:rPr>
        <w:t xml:space="preserve"> la vida 7 cooperantes, entre ellos ciudadanos de países occidentales como el Reino Unido, Polonia o Australia. Los miembros de esta ONG viajaban en dos coches blindados y un vehículo ligero, identificados con el logo de WCK </w:t>
      </w:r>
      <w:r>
        <w:rPr>
          <w:rFonts w:eastAsia="MS Mincho" w:cs="Times New Roman" w:ascii="Cambria" w:hAnsi="Cambria"/>
          <w:b w:val="false"/>
          <w:bCs w:val="false"/>
          <w:color w:val="auto"/>
          <w:kern w:val="0"/>
          <w:sz w:val="24"/>
          <w:szCs w:val="24"/>
          <w:lang w:val="es-ES_tradnl" w:eastAsia="es-ES" w:bidi="ar-SA"/>
        </w:rPr>
        <w:t>y de cuyo paso se había informado al ejército israelí</w:t>
      </w:r>
      <w:r>
        <w:rPr>
          <w:rFonts w:eastAsia="MS Mincho" w:cs="Times New Roman" w:ascii="Cambria" w:hAnsi="Cambria"/>
          <w:b w:val="false"/>
          <w:bCs w:val="false"/>
          <w:color w:val="auto"/>
          <w:kern w:val="0"/>
          <w:sz w:val="24"/>
          <w:szCs w:val="24"/>
          <w:lang w:val="es-ES_tradnl" w:eastAsia="es-ES" w:bidi="ar-SA"/>
        </w:rPr>
        <w:t xml:space="preserve">, cuando fueron alcanzados al salir de su almacén en el centro de Gaza por tres misiles del ejercito israelí.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Este ataque por parte de las fuerzas israelíes no es un incidente aislado, casi 200 trabajadores humanitarios, la mayoría palestinos, pertenecientes a agencias de Naciones Unidas, a ONG</w:t>
      </w:r>
      <w:r>
        <w:rPr>
          <w:rFonts w:eastAsia="MS Mincho" w:cs="Times New Roman" w:ascii="Cambria" w:hAnsi="Cambria"/>
          <w:b w:val="false"/>
          <w:bCs w:val="false"/>
          <w:color w:val="auto"/>
          <w:kern w:val="0"/>
          <w:sz w:val="24"/>
          <w:szCs w:val="24"/>
          <w:lang w:val="es-ES_tradnl" w:eastAsia="es-ES" w:bidi="ar-SA"/>
        </w:rPr>
        <w:t>s</w:t>
      </w:r>
      <w:r>
        <w:rPr>
          <w:rFonts w:eastAsia="MS Mincho" w:cs="Times New Roman" w:ascii="Cambria" w:hAnsi="Cambria"/>
          <w:b w:val="false"/>
          <w:bCs w:val="false"/>
          <w:color w:val="auto"/>
          <w:kern w:val="0"/>
          <w:sz w:val="24"/>
          <w:szCs w:val="24"/>
          <w:lang w:val="es-ES_tradnl" w:eastAsia="es-ES" w:bidi="ar-SA"/>
        </w:rPr>
        <w:t xml:space="preserve"> o </w:t>
      </w:r>
      <w:r>
        <w:rPr>
          <w:rFonts w:eastAsia="MS Mincho" w:cs="Times New Roman" w:ascii="Cambria" w:hAnsi="Cambria"/>
          <w:b w:val="false"/>
          <w:bCs w:val="false"/>
          <w:color w:val="auto"/>
          <w:kern w:val="0"/>
          <w:sz w:val="24"/>
          <w:szCs w:val="24"/>
          <w:lang w:val="es-ES_tradnl" w:eastAsia="es-ES" w:bidi="ar-SA"/>
        </w:rPr>
        <w:t xml:space="preserve">a </w:t>
      </w:r>
      <w:r>
        <w:rPr>
          <w:rFonts w:eastAsia="MS Mincho" w:cs="Times New Roman" w:ascii="Cambria" w:hAnsi="Cambria"/>
          <w:b w:val="false"/>
          <w:bCs w:val="false"/>
          <w:color w:val="auto"/>
          <w:kern w:val="0"/>
          <w:sz w:val="24"/>
          <w:szCs w:val="24"/>
          <w:lang w:val="es-ES_tradnl" w:eastAsia="es-ES" w:bidi="ar-SA"/>
        </w:rPr>
        <w:t xml:space="preserve">la Media Luna, han perdido la vida desde el inicio de la guerra en Gaza.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La ONG Wor</w:t>
      </w:r>
      <w:r>
        <w:rPr>
          <w:rFonts w:eastAsia="MS Mincho" w:cs="Times New Roman" w:ascii="Cambria" w:hAnsi="Cambria"/>
          <w:b w:val="false"/>
          <w:bCs w:val="false"/>
          <w:color w:val="auto"/>
          <w:kern w:val="0"/>
          <w:sz w:val="24"/>
          <w:szCs w:val="24"/>
          <w:lang w:val="es-ES_tradnl" w:eastAsia="es-ES" w:bidi="ar-SA"/>
        </w:rPr>
        <w:t>l</w:t>
      </w:r>
      <w:r>
        <w:rPr>
          <w:rFonts w:eastAsia="MS Mincho" w:cs="Times New Roman" w:ascii="Cambria" w:hAnsi="Cambria"/>
          <w:b w:val="false"/>
          <w:bCs w:val="false"/>
          <w:color w:val="auto"/>
          <w:kern w:val="0"/>
          <w:sz w:val="24"/>
          <w:szCs w:val="24"/>
          <w:lang w:val="es-ES_tradnl" w:eastAsia="es-ES" w:bidi="ar-SA"/>
        </w:rPr>
        <w:t xml:space="preserve">d Central Kitchen se ha visto obligada a retirarse de Gaza, en donde venía repartiendo cientos de miles de raciones de comida al día para paliar una situación inhumana causada por los ataques indiscriminados del ejercito israelí. No es tolerable que se esté utilizando el hambre como un arma de guerra contra la población civil.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La comunidad internacional no puede tolerar que el responsable de esta tragedia humanitaria, el primer ministro israelí Benjamín Netanyahu, justifique el ataque a esta ONG con un cínico “esto pasa en la guerra”. El gobierno israelí tiene que dar explicaciones por lo sucedido y acatar la resolución de Naciones Unidas en la que se les exige un alto el fuego inmediato.</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La comunidad internacional debe enviar un mensaje claro y contundente a Netanyahu para que sepa que nada de lo que este pasando en Gaza quedará sin consecuencias, y obligarle a parar el baño de sangre que ya ha costado la vida a más de 30.000 personas, la mayoría civiles, niñas y niños.</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Normal"/>
        <w:spacing w:lineRule="auto" w:line="360"/>
        <w:jc w:val="both"/>
        <w:rPr/>
      </w:pPr>
      <w:r>
        <w:rPr>
          <w:rFonts w:eastAsia="MS Mincho" w:cs="Times New Roman"/>
          <w:b w:val="false"/>
          <w:bCs w:val="false"/>
          <w:color w:val="auto"/>
          <w:kern w:val="0"/>
          <w:sz w:val="24"/>
          <w:szCs w:val="24"/>
          <w:lang w:val="es-ES_tradnl" w:eastAsia="es-ES" w:bidi="ar-SA"/>
        </w:rPr>
        <w:t xml:space="preserve">Por todo lo expuesto, presentamos al Pleno del Excmo. Ayuntamiento de Cartagena para su debate y aprobación la siguiente </w:t>
      </w:r>
      <w:r>
        <w:rPr>
          <w:rFonts w:eastAsia="MS Mincho" w:cs="Times New Roman"/>
          <w:b/>
          <w:bCs/>
          <w:color w:val="auto"/>
          <w:kern w:val="0"/>
          <w:sz w:val="24"/>
          <w:szCs w:val="24"/>
          <w:lang w:val="es-ES_tradnl" w:eastAsia="es-ES" w:bidi="ar-SA"/>
        </w:rPr>
        <w:t>MOCIÓN</w:t>
      </w:r>
      <w:r>
        <w:rPr>
          <w:rFonts w:eastAsia="MS Mincho" w:cs="Times New Roman"/>
          <w:b w:val="false"/>
          <w:bCs w:val="false"/>
          <w:color w:val="auto"/>
          <w:kern w:val="0"/>
          <w:sz w:val="24"/>
          <w:szCs w:val="24"/>
          <w:lang w:val="es-ES_tradnl" w:eastAsia="es-ES" w:bidi="ar-SA"/>
        </w:rPr>
        <w:t>:</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Que el Pleno del Excmo. Ayuntamiento de Cartagena condene de forma rotunda el ataque del ejercito israelí a la ONG Wor</w:t>
      </w:r>
      <w:r>
        <w:rPr>
          <w:rFonts w:eastAsia="MS Mincho" w:cs="Times New Roman" w:ascii="Cambria" w:hAnsi="Cambria"/>
          <w:b w:val="false"/>
          <w:bCs w:val="false"/>
          <w:color w:val="auto"/>
          <w:kern w:val="0"/>
          <w:sz w:val="24"/>
          <w:szCs w:val="24"/>
          <w:lang w:val="es-ES_tradnl" w:eastAsia="es-ES" w:bidi="ar-SA"/>
        </w:rPr>
        <w:t>l</w:t>
      </w:r>
      <w:r>
        <w:rPr>
          <w:rFonts w:eastAsia="MS Mincho" w:cs="Times New Roman" w:ascii="Cambria" w:hAnsi="Cambria"/>
          <w:b w:val="false"/>
          <w:bCs w:val="false"/>
          <w:color w:val="auto"/>
          <w:kern w:val="0"/>
          <w:sz w:val="24"/>
          <w:szCs w:val="24"/>
          <w:lang w:val="es-ES_tradnl" w:eastAsia="es-ES" w:bidi="ar-SA"/>
        </w:rPr>
        <w:t xml:space="preserve">d Central Kitchen en </w:t>
      </w:r>
      <w:r>
        <w:rPr>
          <w:rFonts w:eastAsia="MS Mincho" w:cs="Times New Roman" w:ascii="Cambria" w:hAnsi="Cambria"/>
          <w:b w:val="false"/>
          <w:bCs w:val="false"/>
          <w:color w:val="auto"/>
          <w:kern w:val="0"/>
          <w:sz w:val="24"/>
          <w:szCs w:val="24"/>
          <w:lang w:val="es-ES_tradnl" w:eastAsia="es-ES" w:bidi="ar-SA"/>
        </w:rPr>
        <w:t>el</w:t>
      </w:r>
      <w:r>
        <w:rPr>
          <w:rFonts w:eastAsia="MS Mincho" w:cs="Times New Roman" w:ascii="Cambria" w:hAnsi="Cambria"/>
          <w:b w:val="false"/>
          <w:bCs w:val="false"/>
          <w:color w:val="auto"/>
          <w:kern w:val="0"/>
          <w:sz w:val="24"/>
          <w:szCs w:val="24"/>
          <w:lang w:val="es-ES_tradnl" w:eastAsia="es-ES" w:bidi="ar-SA"/>
        </w:rPr>
        <w:t xml:space="preserve"> que perdieron la vida 7 cooperantes.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 xml:space="preserve">Que el Pleno del Excmo. Ayuntamiento de Cartagena traslade el pésame y el apoyo a los familiares de las victimas, al chef José Andrés y a todos los integrantes de esta ONG. </w:t>
      </w:r>
    </w:p>
    <w:p>
      <w:pPr>
        <w:pStyle w:val="LO-normal1"/>
        <w:spacing w:lineRule="auto" w:line="360" w:before="57" w:after="57"/>
        <w:jc w:val="both"/>
        <w:rPr>
          <w:rFonts w:ascii="Cambria" w:hAnsi="Cambria" w:eastAsia="MS Mincho" w:cs="Times New Roman"/>
          <w:b w:val="false"/>
          <w:bCs w:val="false"/>
          <w:color w:val="auto"/>
          <w:kern w:val="0"/>
          <w:sz w:val="24"/>
          <w:szCs w:val="24"/>
          <w:lang w:val="es-ES_tradnl" w:eastAsia="es-ES" w:bidi="ar-SA"/>
        </w:rPr>
      </w:pPr>
      <w:r>
        <w:rPr>
          <w:rFonts w:eastAsia="MS Mincho" w:cs="Times New Roman" w:ascii="Cambria" w:hAnsi="Cambria"/>
          <w:b w:val="false"/>
          <w:bCs w:val="false"/>
          <w:color w:val="auto"/>
          <w:kern w:val="0"/>
          <w:sz w:val="24"/>
          <w:szCs w:val="24"/>
          <w:lang w:val="es-ES_tradnl" w:eastAsia="es-ES" w:bidi="ar-SA"/>
        </w:rPr>
      </w:r>
    </w:p>
    <w:p>
      <w:pPr>
        <w:pStyle w:val="LO-normal1"/>
        <w:spacing w:lineRule="auto" w:line="360" w:before="57" w:after="57"/>
        <w:jc w:val="both"/>
        <w:rPr/>
      </w:pPr>
      <w:r>
        <w:rPr>
          <w:rFonts w:eastAsia="MS Mincho" w:cs="Times New Roman" w:ascii="Cambria" w:hAnsi="Cambria"/>
          <w:b w:val="false"/>
          <w:bCs w:val="false"/>
          <w:color w:val="auto"/>
          <w:kern w:val="0"/>
          <w:sz w:val="24"/>
          <w:szCs w:val="24"/>
          <w:lang w:val="es-ES_tradnl" w:eastAsia="es-ES" w:bidi="ar-SA"/>
        </w:rPr>
        <w:t>Que el Pleno del Excmo. Ayuntamiento de Cartagena defienda la solución de los dos Estados para el conflicto entre Israel y Palestina, tal y como acordó la Asamblea General de la ONU el 29 de noviembre del año 2012.</w:t>
      </w:r>
    </w:p>
    <w:p>
      <w:pPr>
        <w:pStyle w:val="Normal"/>
        <w:spacing w:lineRule="auto" w:line="360" w:before="57" w:after="57"/>
        <w:jc w:val="both"/>
        <w:rPr>
          <w:b w:val="false"/>
          <w:bCs w:val="false"/>
        </w:rPr>
      </w:pPr>
      <w:r>
        <w:rPr>
          <w:b w:val="false"/>
          <w:bCs w:val="false"/>
        </w:rPr>
      </w:r>
    </w:p>
    <w:p>
      <w:pPr>
        <w:pStyle w:val="Normal"/>
        <w:numPr>
          <w:ilvl w:val="0"/>
          <w:numId w:val="0"/>
        </w:numPr>
        <w:spacing w:lineRule="auto" w:line="360" w:before="57" w:after="57"/>
        <w:ind w:hanging="0" w:left="720"/>
        <w:jc w:val="center"/>
        <w:rPr/>
      </w:pPr>
      <w:r>
        <w:rPr>
          <w:b/>
          <w:bCs/>
        </w:rPr>
        <w:t>Cartagena, a 1</w:t>
      </w:r>
      <w:r>
        <w:rPr>
          <w:b/>
          <w:bCs/>
        </w:rPr>
        <w:t>8</w:t>
      </w:r>
      <w:r>
        <w:rPr>
          <w:b/>
          <w:bCs/>
        </w:rPr>
        <w:t xml:space="preserve"> de abril de 2024</w:t>
      </w:r>
    </w:p>
    <w:p>
      <w:pPr>
        <w:pStyle w:val="Normal"/>
        <w:spacing w:lineRule="auto" w:line="360" w:before="57" w:after="57"/>
        <w:jc w:val="center"/>
        <w:rPr>
          <w:b w:val="false"/>
          <w:bCs w:val="false"/>
        </w:rPr>
      </w:pPr>
      <w:r>
        <w:rPr>
          <w:b w:val="false"/>
          <w:bCs w:val="false"/>
        </w:rPr>
      </w:r>
    </w:p>
    <w:p>
      <w:pPr>
        <w:pStyle w:val="Normal"/>
        <w:spacing w:lineRule="auto" w:line="360" w:before="57" w:after="57"/>
        <w:jc w:val="center"/>
        <w:rPr>
          <w:b w:val="false"/>
          <w:bCs w:val="false"/>
        </w:rPr>
      </w:pPr>
      <w:r>
        <w:rPr>
          <w:b w:val="false"/>
          <w:bCs w:val="false"/>
        </w:rPr>
      </w:r>
    </w:p>
    <w:p>
      <w:pPr>
        <w:pStyle w:val="Normal"/>
        <w:spacing w:lineRule="auto" w:line="360" w:before="57" w:after="57"/>
        <w:jc w:val="center"/>
        <w:rPr>
          <w:b w:val="false"/>
          <w:bCs w:val="false"/>
        </w:rPr>
      </w:pPr>
      <w:r>
        <w:rPr>
          <w:b w:val="false"/>
          <w:bCs w:val="false"/>
        </w:rPr>
      </w:r>
    </w:p>
    <w:p>
      <w:pPr>
        <w:pStyle w:val="Normal"/>
        <w:spacing w:lineRule="auto" w:line="360" w:before="57" w:after="57"/>
        <w:jc w:val="center"/>
        <w:rPr>
          <w:b w:val="false"/>
          <w:bCs w:val="false"/>
        </w:rPr>
      </w:pPr>
      <w:r>
        <w:rPr>
          <w:b w:val="false"/>
          <w:bCs w:val="false"/>
        </w:rPr>
      </w:r>
    </w:p>
    <w:p>
      <w:pPr>
        <w:pStyle w:val="Normal"/>
        <w:spacing w:lineRule="auto" w:line="360" w:before="57" w:after="57"/>
        <w:jc w:val="center"/>
        <w:rPr/>
      </w:pPr>
      <w:r>
        <w:rPr>
          <w:b/>
          <w:bCs/>
        </w:rPr>
        <w:t>Manuel Torres García</w:t>
      </w:r>
    </w:p>
    <w:p>
      <w:pPr>
        <w:pStyle w:val="Normal"/>
        <w:spacing w:lineRule="auto" w:line="360" w:before="57" w:after="57"/>
        <w:jc w:val="center"/>
        <w:rPr/>
      </w:pPr>
      <w:r>
        <w:rPr>
          <w:b w:val="false"/>
          <w:bCs w:val="false"/>
        </w:rPr>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paragraph" w:styleId="LO-normal1">
    <w:name w:val="LO-normal1"/>
    <w:qFormat/>
    <w:pPr>
      <w:widowControl/>
      <w:suppressAutoHyphens w:val="true"/>
      <w:bidi w:val="0"/>
      <w:spacing w:before="0" w:after="0"/>
      <w:jc w:val="left"/>
    </w:pPr>
    <w:rPr>
      <w:rFonts w:ascii="Arial" w:hAnsi="Arial" w:eastAsia="Noto Serif CJK SC" w:cs="Noto Sans Devanagari"/>
      <w:color w:val="auto"/>
      <w:kern w:val="0"/>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Application>LibreOffice/7.6.0.3$Windows_X86_64 LibreOffice_project/69edd8b8ebc41d00b4de3915dc82f8f0fc3b6265</Application>
  <AppVersion>15.0000</AppVersion>
  <Pages>3</Pages>
  <Words>513</Words>
  <Characters>2612</Characters>
  <CharactersWithSpaces>3117</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2024-04-17T10:53:58Z</cp:lastPrinted>
  <dcterms:modified xsi:type="dcterms:W3CDTF">2024-04-18T13:11:19Z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