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4724400</wp:posOffset>
            </wp:positionH>
            <wp:positionV relativeFrom="paragraph">
              <wp:posOffset>-332105</wp:posOffset>
            </wp:positionV>
            <wp:extent cx="1330325" cy="1330325"/>
            <wp:effectExtent l="0" t="0" r="3175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CIDFont+F3" w:hAnsi="CIDFont+F3" w:cs="CIDFont+F3"/>
          <w:noProof/>
          <w:color w:val="222222"/>
          <w:sz w:val="24"/>
          <w:szCs w:val="24"/>
          <w:lang w:eastAsia="es-ES"/>
        </w:rPr>
        <w:drawing>
          <wp:anchor distT="152400" distB="152400" distL="152400" distR="152400" simplePos="0" relativeHeight="251658240" behindDoc="0" locked="0" layoutInCell="1" allowOverlap="1">
            <wp:simplePos x="0" y="0"/>
            <wp:positionH relativeFrom="margin">
              <wp:posOffset>22793</wp:posOffset>
            </wp:positionH>
            <wp:positionV relativeFrom="page">
              <wp:posOffset>217976</wp:posOffset>
            </wp:positionV>
            <wp:extent cx="4912995" cy="1341755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455DBC" w:rsidRDefault="00455DBC" w:rsidP="00455DBC">
      <w:pPr>
        <w:autoSpaceDE w:val="0"/>
        <w:autoSpaceDN w:val="0"/>
        <w:adjustRightInd w:val="0"/>
        <w:spacing w:after="0" w:line="240" w:lineRule="auto"/>
        <w:jc w:val="both"/>
        <w:rPr>
          <w:rFonts w:ascii="CIDFont+F3" w:hAnsi="CIDFont+F3" w:cs="CIDFont+F3"/>
          <w:color w:val="222222"/>
          <w:sz w:val="24"/>
          <w:szCs w:val="24"/>
        </w:rPr>
      </w:pPr>
    </w:p>
    <w:p w:rsidR="00E107CE" w:rsidRDefault="00B63E67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MOCIÓN</w:t>
      </w:r>
      <w:r w:rsidR="00B3133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B46D01">
        <w:rPr>
          <w:rFonts w:ascii="Arial" w:hAnsi="Arial" w:cs="Arial"/>
          <w:b/>
          <w:color w:val="auto"/>
          <w:sz w:val="24"/>
          <w:szCs w:val="24"/>
        </w:rPr>
        <w:t>QUE PRESENTA MARÍA DOLORES RUIZ ÁLVAREZ</w:t>
      </w:r>
      <w:r w:rsidR="00B46D01" w:rsidRPr="0000018D">
        <w:rPr>
          <w:rFonts w:ascii="Arial" w:hAnsi="Arial" w:cs="Arial"/>
          <w:b/>
          <w:color w:val="auto"/>
          <w:sz w:val="24"/>
          <w:szCs w:val="24"/>
        </w:rPr>
        <w:t>, CONCEJAL DEL GRUPO</w:t>
      </w:r>
      <w:r w:rsidR="00B46D01">
        <w:rPr>
          <w:rFonts w:ascii="Arial" w:hAnsi="Arial" w:cs="Arial"/>
          <w:b/>
          <w:color w:val="auto"/>
          <w:sz w:val="24"/>
          <w:szCs w:val="24"/>
        </w:rPr>
        <w:t xml:space="preserve"> MUNICIPAL MC CARTA</w:t>
      </w:r>
      <w:r w:rsidR="003716B2">
        <w:rPr>
          <w:rFonts w:ascii="Arial" w:hAnsi="Arial" w:cs="Arial"/>
          <w:b/>
          <w:color w:val="auto"/>
          <w:sz w:val="24"/>
          <w:szCs w:val="24"/>
        </w:rPr>
        <w:t>GE</w:t>
      </w:r>
      <w:r w:rsidR="002B77C2">
        <w:rPr>
          <w:rFonts w:ascii="Arial" w:hAnsi="Arial" w:cs="Arial"/>
          <w:b/>
          <w:color w:val="auto"/>
          <w:sz w:val="24"/>
          <w:szCs w:val="24"/>
        </w:rPr>
        <w:t>NA</w:t>
      </w:r>
      <w:r w:rsidR="00B711A0">
        <w:rPr>
          <w:rFonts w:ascii="Arial" w:hAnsi="Arial" w:cs="Arial"/>
          <w:b/>
          <w:color w:val="auto"/>
          <w:sz w:val="24"/>
          <w:szCs w:val="24"/>
        </w:rPr>
        <w:t>,</w:t>
      </w:r>
      <w:r w:rsidR="009275B7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3B4AB4">
        <w:rPr>
          <w:rFonts w:ascii="Arial" w:hAnsi="Arial" w:cs="Arial"/>
          <w:b/>
          <w:color w:val="auto"/>
          <w:sz w:val="24"/>
          <w:szCs w:val="24"/>
        </w:rPr>
        <w:t>SOBRE `</w:t>
      </w:r>
      <w:r w:rsidR="00B10D41">
        <w:rPr>
          <w:rFonts w:ascii="Arial" w:hAnsi="Arial" w:cs="Arial"/>
          <w:b/>
          <w:color w:val="auto"/>
          <w:sz w:val="24"/>
          <w:szCs w:val="24"/>
        </w:rPr>
        <w:t>BIC PIEDRA</w:t>
      </w:r>
      <w:r w:rsidR="002E4D13">
        <w:rPr>
          <w:rFonts w:ascii="Arial" w:hAnsi="Arial" w:cs="Arial"/>
          <w:b/>
          <w:color w:val="auto"/>
          <w:sz w:val="24"/>
          <w:szCs w:val="24"/>
        </w:rPr>
        <w:t xml:space="preserve"> EN  SECO</w:t>
      </w:r>
      <w:r w:rsidR="003B4AB4">
        <w:rPr>
          <w:rFonts w:ascii="Arial" w:hAnsi="Arial" w:cs="Arial"/>
          <w:b/>
          <w:color w:val="auto"/>
          <w:sz w:val="24"/>
          <w:szCs w:val="24"/>
        </w:rPr>
        <w:t>´</w:t>
      </w:r>
    </w:p>
    <w:p w:rsidR="00A65DB7" w:rsidRDefault="00A65DB7" w:rsidP="00B46D01">
      <w:pPr>
        <w:pStyle w:val="Cuerpo"/>
        <w:spacing w:line="276" w:lineRule="auto"/>
        <w:jc w:val="both"/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</w:p>
    <w:p w:rsidR="00A65DB7" w:rsidRDefault="00B10D41" w:rsidP="00B46D01">
      <w:pPr>
        <w:pStyle w:val="Cuerpo"/>
        <w:spacing w:line="276" w:lineRule="auto"/>
        <w:jc w:val="both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  <w:r>
        <w:rPr>
          <w:rFonts w:ascii="Arial" w:hAnsi="Arial" w:cs="Arial"/>
          <w:color w:val="auto"/>
          <w:sz w:val="24"/>
          <w:szCs w:val="24"/>
        </w:rPr>
        <w:t>El día 29 de febrero de 2024 el nuevo Director General de Patrimonio</w:t>
      </w:r>
      <w:r w:rsidR="006A5B84">
        <w:rPr>
          <w:rFonts w:ascii="Arial" w:hAnsi="Arial" w:cs="Arial"/>
          <w:color w:val="auto"/>
          <w:sz w:val="24"/>
          <w:szCs w:val="24"/>
        </w:rPr>
        <w:t xml:space="preserve">, D. José Francisco </w:t>
      </w:r>
      <w:proofErr w:type="spellStart"/>
      <w:r w:rsidR="006A5B84">
        <w:rPr>
          <w:rFonts w:ascii="Arial" w:hAnsi="Arial" w:cs="Arial"/>
          <w:color w:val="auto"/>
          <w:sz w:val="24"/>
          <w:szCs w:val="24"/>
        </w:rPr>
        <w:t>Lájara</w:t>
      </w:r>
      <w:proofErr w:type="spellEnd"/>
      <w:r w:rsidR="006A5B84">
        <w:rPr>
          <w:rFonts w:ascii="Arial" w:hAnsi="Arial" w:cs="Arial"/>
          <w:color w:val="auto"/>
          <w:sz w:val="24"/>
          <w:szCs w:val="24"/>
        </w:rPr>
        <w:t xml:space="preserve"> Martínez,  </w:t>
      </w:r>
      <w:r w:rsidR="006A5B84" w:rsidRPr="002E4D13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emite </w:t>
      </w:r>
      <w:r w:rsidRPr="002E4D13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resolución </w:t>
      </w:r>
      <w:r w:rsidR="002E4D13" w:rsidRPr="002E4D13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declarando la </w:t>
      </w:r>
      <w:r w:rsidRPr="002E4D13">
        <w:rPr>
          <w:rFonts w:ascii="Arial" w:hAnsi="Arial" w:cs="Arial"/>
          <w:b/>
          <w:bCs/>
          <w:color w:val="auto"/>
          <w:sz w:val="24"/>
          <w:szCs w:val="24"/>
          <w:u w:val="single"/>
        </w:rPr>
        <w:t>caducidad</w:t>
      </w:r>
      <w:r w:rsidR="00AB5A42" w:rsidRPr="002E4D13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del procedimiento de declaración</w:t>
      </w:r>
      <w:r w:rsidR="005413B2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como Bien de Interés Cultural I</w:t>
      </w:r>
      <w:r w:rsidR="00AB5A42" w:rsidRPr="002E4D13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nmaterial </w:t>
      </w:r>
      <w:r w:rsidRPr="002E4D13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a favor de la Técnica Construct</w:t>
      </w:r>
      <w:r w:rsidR="005413B2">
        <w:rPr>
          <w:rFonts w:ascii="Arial" w:hAnsi="Arial" w:cs="Arial"/>
          <w:b/>
          <w:bCs/>
          <w:color w:val="auto"/>
          <w:sz w:val="24"/>
          <w:szCs w:val="24"/>
          <w:u w:val="single"/>
        </w:rPr>
        <w:t>iva de la Piedra en Seco en la R</w:t>
      </w:r>
      <w:r w:rsidRPr="002E4D13">
        <w:rPr>
          <w:rFonts w:ascii="Arial" w:hAnsi="Arial" w:cs="Arial"/>
          <w:b/>
          <w:bCs/>
          <w:color w:val="auto"/>
          <w:sz w:val="24"/>
          <w:szCs w:val="24"/>
          <w:u w:val="single"/>
        </w:rPr>
        <w:t>egión de Murcia, expediente DGB 40/2022.</w:t>
      </w:r>
    </w:p>
    <w:p w:rsidR="002E4D13" w:rsidRPr="002E4D13" w:rsidRDefault="002E4D13" w:rsidP="00B46D01">
      <w:pPr>
        <w:pStyle w:val="Cuerpo"/>
        <w:spacing w:line="276" w:lineRule="auto"/>
        <w:jc w:val="both"/>
        <w:rPr>
          <w:rFonts w:ascii="Arial" w:hAnsi="Arial" w:cs="Arial"/>
          <w:b/>
          <w:bCs/>
          <w:color w:val="auto"/>
          <w:sz w:val="24"/>
          <w:szCs w:val="24"/>
          <w:u w:val="single"/>
        </w:rPr>
      </w:pPr>
    </w:p>
    <w:p w:rsidR="005413B2" w:rsidRDefault="00B10D41" w:rsidP="00AB5A42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El expediente</w:t>
      </w:r>
      <w:r w:rsidR="002E4D13">
        <w:rPr>
          <w:rFonts w:ascii="Arial" w:hAnsi="Arial" w:cs="Arial"/>
          <w:color w:val="auto"/>
          <w:sz w:val="24"/>
          <w:szCs w:val="24"/>
        </w:rPr>
        <w:t xml:space="preserve"> caducado </w:t>
      </w:r>
      <w:r>
        <w:rPr>
          <w:rFonts w:ascii="Arial" w:hAnsi="Arial" w:cs="Arial"/>
          <w:color w:val="auto"/>
          <w:sz w:val="24"/>
          <w:szCs w:val="24"/>
        </w:rPr>
        <w:t xml:space="preserve"> </w:t>
      </w:r>
      <w:r w:rsidRPr="001D5691">
        <w:rPr>
          <w:rFonts w:ascii="Arial" w:hAnsi="Arial" w:cs="Arial"/>
          <w:b/>
          <w:bCs/>
          <w:color w:val="auto"/>
          <w:sz w:val="24"/>
          <w:szCs w:val="24"/>
          <w:u w:val="single"/>
        </w:rPr>
        <w:t>es fruto del interés por parte de</w:t>
      </w:r>
      <w:r w:rsidR="00AB5A42">
        <w:rPr>
          <w:rFonts w:ascii="Arial" w:hAnsi="Arial" w:cs="Arial"/>
          <w:b/>
          <w:bCs/>
          <w:color w:val="auto"/>
          <w:sz w:val="24"/>
          <w:szCs w:val="24"/>
          <w:u w:val="single"/>
        </w:rPr>
        <w:t>l gobierno de</w:t>
      </w:r>
      <w:r w:rsidRPr="001D5691">
        <w:rPr>
          <w:rFonts w:ascii="Arial" w:hAnsi="Arial" w:cs="Arial"/>
          <w:b/>
          <w:bCs/>
          <w:color w:val="auto"/>
          <w:sz w:val="24"/>
          <w:szCs w:val="24"/>
          <w:u w:val="single"/>
        </w:rPr>
        <w:t xml:space="preserve"> la Comunidad de sumarse a la declaración aprobada por la UNESCO en 2018 </w:t>
      </w:r>
      <w:r>
        <w:rPr>
          <w:rFonts w:ascii="Arial" w:hAnsi="Arial" w:cs="Arial"/>
          <w:color w:val="auto"/>
          <w:sz w:val="24"/>
          <w:szCs w:val="24"/>
        </w:rPr>
        <w:t>que protege el arte de construir pozos, “cucos” y hornos. Cuatro años después de la declar</w:t>
      </w:r>
      <w:r w:rsidR="005413B2">
        <w:rPr>
          <w:rFonts w:ascii="Arial" w:hAnsi="Arial" w:cs="Arial"/>
          <w:color w:val="auto"/>
          <w:sz w:val="24"/>
          <w:szCs w:val="24"/>
        </w:rPr>
        <w:t>ación aprobada por la UNESCO</w:t>
      </w:r>
      <w:r>
        <w:rPr>
          <w:rFonts w:ascii="Arial" w:hAnsi="Arial" w:cs="Arial"/>
          <w:color w:val="auto"/>
          <w:sz w:val="24"/>
          <w:szCs w:val="24"/>
        </w:rPr>
        <w:t xml:space="preserve"> culminan con la caducidad de un expediente anuncia</w:t>
      </w:r>
      <w:r w:rsidR="005413B2">
        <w:rPr>
          <w:rFonts w:ascii="Arial" w:hAnsi="Arial" w:cs="Arial"/>
          <w:color w:val="auto"/>
          <w:sz w:val="24"/>
          <w:szCs w:val="24"/>
        </w:rPr>
        <w:t>do a “bombo y platillo” por el Gobierno regional “do</w:t>
      </w:r>
      <w:r>
        <w:rPr>
          <w:rFonts w:ascii="Arial" w:hAnsi="Arial" w:cs="Arial"/>
          <w:color w:val="auto"/>
          <w:sz w:val="24"/>
          <w:szCs w:val="24"/>
        </w:rPr>
        <w:t>nde Cartagena y La Unión aún mantienen en uso sendas militares trazadas con la técnica de la piedra seca (La Verdad, 5/12/2022</w:t>
      </w:r>
      <w:r w:rsidR="00AB5A42">
        <w:rPr>
          <w:rFonts w:ascii="Arial" w:hAnsi="Arial" w:cs="Arial"/>
          <w:color w:val="auto"/>
          <w:sz w:val="24"/>
          <w:szCs w:val="24"/>
        </w:rPr>
        <w:t>) y los muros de piedra seca desempeñan un papel esencial en la lucha contra la erosión y desertificación de terrenos, en la mejora de la diversidad y en la creación de condiciones propicias para la agricultura en nuestra zona oeste.</w:t>
      </w:r>
    </w:p>
    <w:p w:rsidR="00B10D41" w:rsidRDefault="00AB5A42" w:rsidP="00AB5A42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  </w:t>
      </w:r>
      <w:r>
        <w:rPr>
          <w:rFonts w:ascii="Arial" w:hAnsi="Arial" w:cs="Arial"/>
          <w:color w:val="auto"/>
          <w:sz w:val="24"/>
          <w:szCs w:val="24"/>
        </w:rPr>
        <w:tab/>
      </w:r>
    </w:p>
    <w:p w:rsidR="00B10D41" w:rsidRDefault="001D5691" w:rsidP="001D569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La incoación de dicho expediente se produce por resolución del 7 de diciembre</w:t>
      </w:r>
      <w:r w:rsidR="005413B2">
        <w:rPr>
          <w:rFonts w:ascii="Arial" w:hAnsi="Arial" w:cs="Arial"/>
          <w:color w:val="auto"/>
          <w:sz w:val="24"/>
          <w:szCs w:val="24"/>
        </w:rPr>
        <w:t xml:space="preserve"> de 2022 del otrora director g</w:t>
      </w:r>
      <w:r>
        <w:rPr>
          <w:rFonts w:ascii="Arial" w:hAnsi="Arial" w:cs="Arial"/>
          <w:color w:val="auto"/>
          <w:sz w:val="24"/>
          <w:szCs w:val="24"/>
        </w:rPr>
        <w:t>eneral de Patrimonio Cultural y actual concejal del Ayuntamiento de Cartagena. Publicada  en el BORM número 294 del día 22 de diciembre de 2022 muestra una relación de bienes protegidos.</w:t>
      </w:r>
    </w:p>
    <w:p w:rsidR="005413B2" w:rsidRDefault="005413B2" w:rsidP="001D569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FE40A6" w:rsidRDefault="005413B2" w:rsidP="001D569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En el Pl</w:t>
      </w:r>
      <w:r w:rsidR="00FE40A6">
        <w:rPr>
          <w:rFonts w:ascii="Arial" w:hAnsi="Arial" w:cs="Arial"/>
          <w:color w:val="auto"/>
          <w:sz w:val="24"/>
          <w:szCs w:val="24"/>
        </w:rPr>
        <w:t>eno ordinario de fecha 28 de septiembre de 2023</w:t>
      </w:r>
      <w:r w:rsidR="00AB5A42">
        <w:rPr>
          <w:rFonts w:ascii="Arial" w:hAnsi="Arial" w:cs="Arial"/>
          <w:color w:val="auto"/>
          <w:sz w:val="24"/>
          <w:szCs w:val="24"/>
        </w:rPr>
        <w:t xml:space="preserve">, a dos meses de la caducidad del expediente, </w:t>
      </w:r>
      <w:r>
        <w:rPr>
          <w:rFonts w:ascii="Arial" w:hAnsi="Arial" w:cs="Arial"/>
          <w:color w:val="auto"/>
          <w:sz w:val="24"/>
          <w:szCs w:val="24"/>
        </w:rPr>
        <w:t>esta concejal trajo</w:t>
      </w:r>
      <w:r w:rsidR="00FE40A6">
        <w:rPr>
          <w:rFonts w:ascii="Arial" w:hAnsi="Arial" w:cs="Arial"/>
          <w:color w:val="auto"/>
          <w:sz w:val="24"/>
          <w:szCs w:val="24"/>
        </w:rPr>
        <w:t xml:space="preserve"> una moción</w:t>
      </w:r>
      <w:r w:rsidR="00AB5A42">
        <w:rPr>
          <w:rFonts w:ascii="Arial" w:hAnsi="Arial" w:cs="Arial"/>
          <w:color w:val="auto"/>
          <w:sz w:val="24"/>
          <w:szCs w:val="24"/>
        </w:rPr>
        <w:t xml:space="preserve"> aprobada por unanimidad</w:t>
      </w:r>
      <w:r>
        <w:rPr>
          <w:rFonts w:ascii="Arial" w:hAnsi="Arial" w:cs="Arial"/>
          <w:color w:val="auto"/>
          <w:sz w:val="24"/>
          <w:szCs w:val="24"/>
        </w:rPr>
        <w:t xml:space="preserve"> sobre la piedra seca,</w:t>
      </w:r>
      <w:r w:rsidR="00FE40A6">
        <w:rPr>
          <w:rFonts w:ascii="Arial" w:hAnsi="Arial" w:cs="Arial"/>
          <w:color w:val="auto"/>
          <w:sz w:val="24"/>
          <w:szCs w:val="24"/>
        </w:rPr>
        <w:t xml:space="preserve"> en la cual se aludía a la importancia de esta técnica constructiva en la zona oeste y cuya parte resolutiva instaba a</w:t>
      </w:r>
    </w:p>
    <w:p w:rsidR="006A5B84" w:rsidRDefault="006A5B84" w:rsidP="001D5691">
      <w:pPr>
        <w:pStyle w:val="Cuerpo"/>
        <w:spacing w:line="276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FE40A6" w:rsidRDefault="006A5B84" w:rsidP="006A5B84">
      <w:pPr>
        <w:autoSpaceDE w:val="0"/>
        <w:autoSpaceDN w:val="0"/>
        <w:adjustRightInd w:val="0"/>
        <w:spacing w:after="0" w:line="240" w:lineRule="auto"/>
        <w:ind w:left="708"/>
        <w:jc w:val="mediumKashida"/>
        <w:rPr>
          <w:rFonts w:ascii="TimesNewRomanPSMT" w:hAnsi="TimesNewRomanPSMT" w:cs="TimesNewRomanPSMT"/>
          <w:b/>
          <w:bCs/>
          <w:i/>
          <w:iCs/>
          <w:u w:val="single"/>
        </w:rPr>
      </w:pPr>
      <w:r w:rsidRPr="006A5B84">
        <w:rPr>
          <w:rFonts w:ascii="Arial" w:hAnsi="Arial" w:cs="Arial"/>
          <w:i/>
          <w:iCs/>
          <w:sz w:val="24"/>
          <w:szCs w:val="24"/>
        </w:rPr>
        <w:t>“</w:t>
      </w:r>
      <w:r w:rsidRPr="006A5B84">
        <w:rPr>
          <w:rFonts w:ascii="TimesNewRomanPSMT" w:hAnsi="TimesNewRomanPSMT" w:cs="TimesNewRomanPSMT"/>
          <w:i/>
          <w:iCs/>
        </w:rPr>
        <w:t xml:space="preserve">Que el Pleno municipal inste al Gobierno local a colaborar estrechamente con los voluntarios para la realización del inventario poniendo los medios que considere necesarios para su consecución y solicite, para ello, al organismo competente regional </w:t>
      </w:r>
      <w:r w:rsidRPr="006A5B84">
        <w:rPr>
          <w:rFonts w:ascii="TimesNewRomanPSMT" w:hAnsi="TimesNewRomanPSMT" w:cs="TimesNewRomanPSMT"/>
          <w:b/>
          <w:bCs/>
          <w:i/>
          <w:iCs/>
          <w:u w:val="single"/>
        </w:rPr>
        <w:t>la ampliación de plazo para la resolución de la declaración conforme a lo determinado en el artículo 23 de la Ley 39/2015, de 1 de octubre”</w:t>
      </w:r>
    </w:p>
    <w:p w:rsidR="006A5B84" w:rsidRDefault="006A5B84" w:rsidP="006A5B84">
      <w:pPr>
        <w:autoSpaceDE w:val="0"/>
        <w:autoSpaceDN w:val="0"/>
        <w:adjustRightInd w:val="0"/>
        <w:spacing w:after="0" w:line="240" w:lineRule="auto"/>
        <w:jc w:val="mediumKashida"/>
        <w:rPr>
          <w:rFonts w:ascii="TimesNewRomanPSMT" w:hAnsi="TimesNewRomanPSMT" w:cs="TimesNewRomanPSMT"/>
          <w:b/>
          <w:bCs/>
          <w:i/>
          <w:iCs/>
          <w:u w:val="single"/>
        </w:rPr>
      </w:pPr>
    </w:p>
    <w:p w:rsidR="00B31337" w:rsidRDefault="00B31337" w:rsidP="006A5B84">
      <w:pPr>
        <w:pStyle w:val="Cuerpo"/>
        <w:spacing w:line="276" w:lineRule="auto"/>
        <w:jc w:val="mediumKashida"/>
        <w:rPr>
          <w:rFonts w:ascii="Arial" w:hAnsi="Arial" w:cs="Arial"/>
          <w:b/>
          <w:color w:val="auto"/>
          <w:sz w:val="24"/>
          <w:szCs w:val="24"/>
        </w:rPr>
      </w:pPr>
    </w:p>
    <w:p w:rsidR="00BC3E57" w:rsidRPr="00972921" w:rsidRDefault="00972921" w:rsidP="00A65DB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lo</w:t>
      </w:r>
      <w:r w:rsidR="00BC3E57" w:rsidRPr="00B31337">
        <w:rPr>
          <w:rFonts w:ascii="Arial" w:eastAsia="Arial Unicode MS" w:hAnsi="Arial" w:cs="Arial"/>
          <w:kern w:val="1"/>
          <w:sz w:val="24"/>
          <w:szCs w:val="24"/>
          <w:lang w:eastAsia="zh-CN"/>
        </w:rPr>
        <w:t xml:space="preserve"> todo lo anteriormente expuesto la concejal que suscribe eleva al pleno la siguiente</w:t>
      </w:r>
    </w:p>
    <w:p w:rsidR="00885213" w:rsidRPr="009275B7" w:rsidRDefault="00885213" w:rsidP="00B63E67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5413B2" w:rsidRDefault="00A65DB7" w:rsidP="00874031">
      <w:pPr>
        <w:ind w:left="3528" w:firstLine="12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</w:t>
      </w:r>
    </w:p>
    <w:p w:rsidR="005413B2" w:rsidRDefault="005413B2" w:rsidP="005413B2">
      <w:pPr>
        <w:rPr>
          <w:rFonts w:ascii="Arial" w:hAnsi="Arial" w:cs="Arial"/>
          <w:b/>
          <w:sz w:val="24"/>
          <w:szCs w:val="24"/>
        </w:rPr>
      </w:pPr>
    </w:p>
    <w:p w:rsidR="005413B2" w:rsidRDefault="005413B2" w:rsidP="005413B2">
      <w:pPr>
        <w:rPr>
          <w:rFonts w:ascii="Arial" w:hAnsi="Arial" w:cs="Arial"/>
          <w:b/>
          <w:sz w:val="24"/>
          <w:szCs w:val="24"/>
        </w:rPr>
      </w:pPr>
    </w:p>
    <w:p w:rsidR="005413B2" w:rsidRDefault="005413B2" w:rsidP="005413B2">
      <w:pPr>
        <w:rPr>
          <w:rFonts w:ascii="Arial" w:hAnsi="Arial" w:cs="Arial"/>
          <w:b/>
          <w:sz w:val="24"/>
          <w:szCs w:val="24"/>
        </w:rPr>
      </w:pPr>
    </w:p>
    <w:p w:rsidR="005413B2" w:rsidRDefault="005413B2" w:rsidP="005413B2">
      <w:pPr>
        <w:rPr>
          <w:rFonts w:ascii="Arial" w:hAnsi="Arial" w:cs="Arial"/>
          <w:b/>
          <w:sz w:val="24"/>
          <w:szCs w:val="24"/>
        </w:rPr>
      </w:pPr>
    </w:p>
    <w:p w:rsidR="005413B2" w:rsidRDefault="005413B2" w:rsidP="005413B2">
      <w:pPr>
        <w:rPr>
          <w:rFonts w:ascii="Arial" w:hAnsi="Arial" w:cs="Arial"/>
          <w:b/>
          <w:sz w:val="24"/>
          <w:szCs w:val="24"/>
        </w:rPr>
      </w:pPr>
    </w:p>
    <w:p w:rsidR="0058129B" w:rsidRDefault="00B63E67" w:rsidP="005413B2">
      <w:pPr>
        <w:jc w:val="center"/>
        <w:rPr>
          <w:rFonts w:ascii="Arial" w:hAnsi="Arial" w:cs="Arial"/>
          <w:b/>
          <w:sz w:val="24"/>
          <w:szCs w:val="24"/>
        </w:rPr>
      </w:pPr>
      <w:r w:rsidRPr="009275B7">
        <w:rPr>
          <w:rFonts w:ascii="Arial" w:hAnsi="Arial" w:cs="Arial"/>
          <w:b/>
          <w:sz w:val="24"/>
          <w:szCs w:val="24"/>
        </w:rPr>
        <w:t>MOCIÓN</w:t>
      </w:r>
    </w:p>
    <w:p w:rsidR="005413B2" w:rsidRPr="009275B7" w:rsidRDefault="005413B2" w:rsidP="005413B2">
      <w:pPr>
        <w:jc w:val="center"/>
        <w:rPr>
          <w:rFonts w:ascii="Arial" w:hAnsi="Arial" w:cs="Arial"/>
          <w:b/>
          <w:sz w:val="24"/>
          <w:szCs w:val="24"/>
        </w:rPr>
      </w:pPr>
    </w:p>
    <w:p w:rsidR="00B63E67" w:rsidRPr="00B63E67" w:rsidRDefault="009275B7" w:rsidP="006A5B84">
      <w:pPr>
        <w:jc w:val="both"/>
        <w:rPr>
          <w:rFonts w:ascii="Arial" w:hAnsi="Arial" w:cs="Arial"/>
          <w:sz w:val="24"/>
          <w:szCs w:val="24"/>
        </w:rPr>
      </w:pPr>
      <w:r w:rsidRPr="009275B7">
        <w:rPr>
          <w:rFonts w:ascii="Arial" w:hAnsi="Arial" w:cs="Arial"/>
          <w:sz w:val="24"/>
          <w:szCs w:val="24"/>
        </w:rPr>
        <w:t xml:space="preserve">Que el </w:t>
      </w:r>
      <w:r w:rsidR="005413B2">
        <w:rPr>
          <w:rFonts w:ascii="Arial" w:hAnsi="Arial" w:cs="Arial"/>
          <w:sz w:val="24"/>
          <w:szCs w:val="24"/>
        </w:rPr>
        <w:t>Pleno inste al G</w:t>
      </w:r>
      <w:r w:rsidR="006A5B84">
        <w:rPr>
          <w:rFonts w:ascii="Arial" w:hAnsi="Arial" w:cs="Arial"/>
          <w:sz w:val="24"/>
          <w:szCs w:val="24"/>
        </w:rPr>
        <w:t>obierno</w:t>
      </w:r>
      <w:r w:rsidR="005413B2">
        <w:rPr>
          <w:rFonts w:ascii="Arial" w:hAnsi="Arial" w:cs="Arial"/>
          <w:sz w:val="24"/>
          <w:szCs w:val="24"/>
        </w:rPr>
        <w:t xml:space="preserve"> local a que, en caso de que se</w:t>
      </w:r>
      <w:r w:rsidR="006A5B84">
        <w:rPr>
          <w:rFonts w:ascii="Arial" w:hAnsi="Arial" w:cs="Arial"/>
          <w:sz w:val="24"/>
          <w:szCs w:val="24"/>
        </w:rPr>
        <w:t xml:space="preserve"> hubiese cumplido con el contenido de la parte resolutiva de la moción inst</w:t>
      </w:r>
      <w:r w:rsidR="005413B2">
        <w:rPr>
          <w:rFonts w:ascii="Arial" w:hAnsi="Arial" w:cs="Arial"/>
          <w:sz w:val="24"/>
          <w:szCs w:val="24"/>
        </w:rPr>
        <w:t>ando a la ampliación de plazo, se interese e informe a este P</w:t>
      </w:r>
      <w:r w:rsidR="006A5B84">
        <w:rPr>
          <w:rFonts w:ascii="Arial" w:hAnsi="Arial" w:cs="Arial"/>
          <w:sz w:val="24"/>
          <w:szCs w:val="24"/>
        </w:rPr>
        <w:t>leno de</w:t>
      </w:r>
      <w:r w:rsidR="005413B2">
        <w:rPr>
          <w:rFonts w:ascii="Arial" w:hAnsi="Arial" w:cs="Arial"/>
          <w:sz w:val="24"/>
          <w:szCs w:val="24"/>
        </w:rPr>
        <w:t xml:space="preserve"> las razones por las cuales el G</w:t>
      </w:r>
      <w:r w:rsidR="006A5B84">
        <w:rPr>
          <w:rFonts w:ascii="Arial" w:hAnsi="Arial" w:cs="Arial"/>
          <w:sz w:val="24"/>
          <w:szCs w:val="24"/>
        </w:rPr>
        <w:t xml:space="preserve">obierno regional no amplió el plazo de resolución de la declaración conforme a lo determinado en el artículo 23 de la Ley 39/2015, de 1 de octubre abocando el expediente a una nueva tramitación. </w:t>
      </w:r>
    </w:p>
    <w:p w:rsidR="00B63E67" w:rsidRDefault="00B63E67" w:rsidP="00B63E67">
      <w:pPr>
        <w:rPr>
          <w:rFonts w:ascii="Arial" w:hAnsi="Arial" w:cs="Arial"/>
          <w:b/>
          <w:sz w:val="24"/>
          <w:szCs w:val="24"/>
        </w:rPr>
      </w:pPr>
    </w:p>
    <w:p w:rsidR="00B46D01" w:rsidRDefault="00B46D01" w:rsidP="00455DBC">
      <w:pPr>
        <w:jc w:val="both"/>
        <w:rPr>
          <w:rFonts w:ascii="Arial" w:hAnsi="Arial" w:cs="Arial"/>
          <w:sz w:val="24"/>
          <w:szCs w:val="24"/>
        </w:rPr>
      </w:pP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  <w:r w:rsidRPr="00B46D01">
        <w:rPr>
          <w:rFonts w:ascii="Arial" w:hAnsi="Arial" w:cs="Arial"/>
          <w:sz w:val="24"/>
          <w:szCs w:val="24"/>
        </w:rPr>
        <w:tab/>
      </w:r>
    </w:p>
    <w:p w:rsidR="00A51A5D" w:rsidRDefault="002B77C2" w:rsidP="005413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Cartagena</w:t>
      </w:r>
      <w:r w:rsidR="005413B2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</w:t>
      </w:r>
      <w:r w:rsidR="005413B2">
        <w:rPr>
          <w:rFonts w:ascii="Arial" w:hAnsi="Arial" w:cs="Arial"/>
          <w:sz w:val="24"/>
          <w:szCs w:val="24"/>
        </w:rPr>
        <w:t xml:space="preserve"> 7</w:t>
      </w:r>
      <w:r w:rsidR="006A5B84">
        <w:rPr>
          <w:rFonts w:ascii="Arial" w:hAnsi="Arial" w:cs="Arial"/>
          <w:sz w:val="24"/>
          <w:szCs w:val="24"/>
        </w:rPr>
        <w:t xml:space="preserve"> de marzo </w:t>
      </w:r>
      <w:r w:rsidR="00E04FC2">
        <w:rPr>
          <w:rFonts w:ascii="Arial" w:hAnsi="Arial" w:cs="Arial"/>
          <w:sz w:val="24"/>
          <w:szCs w:val="24"/>
        </w:rPr>
        <w:t>de 2023</w:t>
      </w:r>
      <w:r w:rsidR="005413B2">
        <w:rPr>
          <w:rFonts w:ascii="Arial" w:hAnsi="Arial" w:cs="Arial"/>
          <w:sz w:val="24"/>
          <w:szCs w:val="24"/>
        </w:rPr>
        <w:t>.</w:t>
      </w:r>
    </w:p>
    <w:p w:rsidR="00B46D01" w:rsidRDefault="00B46D01" w:rsidP="00455DBC">
      <w:pPr>
        <w:jc w:val="both"/>
        <w:rPr>
          <w:rFonts w:ascii="Arial" w:hAnsi="Arial" w:cs="Arial"/>
          <w:sz w:val="24"/>
          <w:szCs w:val="24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B46D01" w:rsidP="00B46D01">
      <w:pPr>
        <w:ind w:right="-568"/>
        <w:rPr>
          <w:rFonts w:ascii="Arial" w:hAnsi="Arial" w:cs="Arial"/>
        </w:rPr>
      </w:pPr>
    </w:p>
    <w:p w:rsidR="00B46D01" w:rsidRDefault="005413B2" w:rsidP="00B46D01">
      <w:pPr>
        <w:ind w:right="-568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8D63B0">
        <w:rPr>
          <w:rFonts w:ascii="Arial" w:hAnsi="Arial" w:cs="Arial"/>
        </w:rPr>
        <w:t>Fdo. Jesús Giménez Gallo</w:t>
      </w:r>
      <w:r w:rsidR="00B46D01">
        <w:rPr>
          <w:rFonts w:ascii="Arial" w:hAnsi="Arial" w:cs="Arial"/>
        </w:rPr>
        <w:tab/>
      </w:r>
      <w:r w:rsidR="00B46D01">
        <w:rPr>
          <w:rFonts w:ascii="Arial" w:hAnsi="Arial" w:cs="Arial"/>
        </w:rPr>
        <w:tab/>
      </w:r>
      <w:r w:rsidR="00B46D01">
        <w:rPr>
          <w:rFonts w:ascii="Arial" w:hAnsi="Arial" w:cs="Arial"/>
        </w:rPr>
        <w:tab/>
      </w:r>
      <w:r w:rsidR="00B46D01">
        <w:rPr>
          <w:rFonts w:ascii="Arial" w:hAnsi="Arial" w:cs="Arial"/>
        </w:rPr>
        <w:tab/>
        <w:t>Fdo. María Dolores Ruiz Álvarez</w:t>
      </w:r>
    </w:p>
    <w:p w:rsidR="00B46D01" w:rsidRPr="003400AD" w:rsidRDefault="00B46D01" w:rsidP="00B46D01">
      <w:pPr>
        <w:ind w:right="-568"/>
        <w:rPr>
          <w:rFonts w:ascii="Arial" w:eastAsia="Arial" w:hAnsi="Arial" w:cs="Arial"/>
          <w:b/>
        </w:rPr>
      </w:pPr>
      <w:r>
        <w:rPr>
          <w:rFonts w:ascii="Arial" w:hAnsi="Arial" w:cs="Arial"/>
        </w:rPr>
        <w:t xml:space="preserve">Concejal-Portavoz Grupo </w:t>
      </w:r>
      <w:r w:rsidR="005413B2">
        <w:rPr>
          <w:rFonts w:ascii="Arial" w:hAnsi="Arial" w:cs="Arial"/>
        </w:rPr>
        <w:t>m</w:t>
      </w:r>
      <w:r w:rsidR="009E2E7E">
        <w:rPr>
          <w:rFonts w:ascii="Arial" w:hAnsi="Arial" w:cs="Arial"/>
        </w:rPr>
        <w:t xml:space="preserve">unicipal MC                  </w:t>
      </w:r>
      <w:r w:rsidR="005413B2">
        <w:rPr>
          <w:rFonts w:ascii="Arial" w:hAnsi="Arial" w:cs="Arial"/>
        </w:rPr>
        <w:t xml:space="preserve">             Concejal Grupo m</w:t>
      </w:r>
      <w:r>
        <w:rPr>
          <w:rFonts w:ascii="Arial" w:hAnsi="Arial" w:cs="Arial"/>
        </w:rPr>
        <w:t>unicipal MC</w:t>
      </w: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Default="00B46D01" w:rsidP="00B46D01">
      <w:pPr>
        <w:ind w:right="-568"/>
        <w:rPr>
          <w:rFonts w:ascii="Arial" w:hAnsi="Arial" w:cs="Arial"/>
          <w:b/>
        </w:rPr>
      </w:pPr>
    </w:p>
    <w:p w:rsidR="00B46D01" w:rsidRPr="00B71408" w:rsidRDefault="00B46D01" w:rsidP="005413B2">
      <w:pPr>
        <w:ind w:right="-568"/>
        <w:jc w:val="center"/>
        <w:rPr>
          <w:rFonts w:ascii="Arial" w:eastAsia="Arial" w:hAnsi="Arial" w:cs="Arial"/>
        </w:rPr>
      </w:pPr>
      <w:r>
        <w:rPr>
          <w:rFonts w:ascii="Arial" w:hAnsi="Arial" w:cs="Arial"/>
          <w:b/>
        </w:rPr>
        <w:t>A LA ALCALDÍA – PRESIDENCIA DEL EXCMO. AYUNTAMIENTO DE CARTAGENA</w:t>
      </w:r>
    </w:p>
    <w:p w:rsidR="001E6DB9" w:rsidRDefault="001E6DB9" w:rsidP="00455DBC">
      <w:pPr>
        <w:jc w:val="both"/>
        <w:rPr>
          <w:rFonts w:ascii="Arial" w:hAnsi="Arial" w:cs="Arial"/>
          <w:sz w:val="24"/>
          <w:szCs w:val="24"/>
        </w:rPr>
      </w:pPr>
    </w:p>
    <w:p w:rsidR="003637C1" w:rsidRPr="00B46D01" w:rsidRDefault="003637C1" w:rsidP="00455DBC">
      <w:pPr>
        <w:jc w:val="both"/>
        <w:rPr>
          <w:rFonts w:ascii="Arial" w:hAnsi="Arial" w:cs="Arial"/>
          <w:sz w:val="24"/>
          <w:szCs w:val="24"/>
        </w:rPr>
      </w:pPr>
    </w:p>
    <w:sectPr w:rsidR="003637C1" w:rsidRPr="00B46D01" w:rsidSect="00EB44EA">
      <w:pgSz w:w="11906" w:h="16838" w:code="9"/>
      <w:pgMar w:top="964" w:right="1134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E5BB9"/>
    <w:multiLevelType w:val="hybridMultilevel"/>
    <w:tmpl w:val="43E407C2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D61F5A"/>
    <w:multiLevelType w:val="hybridMultilevel"/>
    <w:tmpl w:val="6730189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51A5D"/>
    <w:rsid w:val="00010171"/>
    <w:rsid w:val="0003560D"/>
    <w:rsid w:val="00052C1F"/>
    <w:rsid w:val="000C70DD"/>
    <w:rsid w:val="000E7DCB"/>
    <w:rsid w:val="000E7E5C"/>
    <w:rsid w:val="000F5E92"/>
    <w:rsid w:val="00112423"/>
    <w:rsid w:val="001345B2"/>
    <w:rsid w:val="00196A18"/>
    <w:rsid w:val="001A7070"/>
    <w:rsid w:val="001B10B2"/>
    <w:rsid w:val="001D5691"/>
    <w:rsid w:val="001E6DB9"/>
    <w:rsid w:val="001F2ECA"/>
    <w:rsid w:val="002108A7"/>
    <w:rsid w:val="00213A71"/>
    <w:rsid w:val="00260FC1"/>
    <w:rsid w:val="002B77C2"/>
    <w:rsid w:val="002E4D13"/>
    <w:rsid w:val="002F3E0E"/>
    <w:rsid w:val="003203C4"/>
    <w:rsid w:val="003637C1"/>
    <w:rsid w:val="003665BD"/>
    <w:rsid w:val="003716B2"/>
    <w:rsid w:val="003726A7"/>
    <w:rsid w:val="00386471"/>
    <w:rsid w:val="003B4AB4"/>
    <w:rsid w:val="003C12F4"/>
    <w:rsid w:val="003C65BD"/>
    <w:rsid w:val="003D093A"/>
    <w:rsid w:val="004279AE"/>
    <w:rsid w:val="00447BC4"/>
    <w:rsid w:val="00455DBC"/>
    <w:rsid w:val="004825BD"/>
    <w:rsid w:val="004B6375"/>
    <w:rsid w:val="004C451E"/>
    <w:rsid w:val="005413B2"/>
    <w:rsid w:val="00547A21"/>
    <w:rsid w:val="00576529"/>
    <w:rsid w:val="0058129B"/>
    <w:rsid w:val="0059673D"/>
    <w:rsid w:val="005C34F2"/>
    <w:rsid w:val="00612C1A"/>
    <w:rsid w:val="00647AB1"/>
    <w:rsid w:val="006666A2"/>
    <w:rsid w:val="00681B70"/>
    <w:rsid w:val="006851B9"/>
    <w:rsid w:val="00690DE7"/>
    <w:rsid w:val="006A5B84"/>
    <w:rsid w:val="006E58B8"/>
    <w:rsid w:val="00716B6A"/>
    <w:rsid w:val="00726AE8"/>
    <w:rsid w:val="007863FE"/>
    <w:rsid w:val="00791C5A"/>
    <w:rsid w:val="00792DF4"/>
    <w:rsid w:val="0079415A"/>
    <w:rsid w:val="00794A0E"/>
    <w:rsid w:val="007D6D30"/>
    <w:rsid w:val="007F5EA0"/>
    <w:rsid w:val="00806912"/>
    <w:rsid w:val="00812ED3"/>
    <w:rsid w:val="00874031"/>
    <w:rsid w:val="00885213"/>
    <w:rsid w:val="008C22B1"/>
    <w:rsid w:val="008D63B0"/>
    <w:rsid w:val="00921AE4"/>
    <w:rsid w:val="009253EA"/>
    <w:rsid w:val="009275B7"/>
    <w:rsid w:val="00971155"/>
    <w:rsid w:val="00971FC2"/>
    <w:rsid w:val="00972921"/>
    <w:rsid w:val="009955D5"/>
    <w:rsid w:val="009B6FFF"/>
    <w:rsid w:val="009D261F"/>
    <w:rsid w:val="009E2E7E"/>
    <w:rsid w:val="00A02032"/>
    <w:rsid w:val="00A049FA"/>
    <w:rsid w:val="00A51A5D"/>
    <w:rsid w:val="00A65DB7"/>
    <w:rsid w:val="00A8300B"/>
    <w:rsid w:val="00A92821"/>
    <w:rsid w:val="00AB5A42"/>
    <w:rsid w:val="00AC53E1"/>
    <w:rsid w:val="00AD5E73"/>
    <w:rsid w:val="00AE0BFA"/>
    <w:rsid w:val="00AE4255"/>
    <w:rsid w:val="00AF61A8"/>
    <w:rsid w:val="00B10D41"/>
    <w:rsid w:val="00B15B9B"/>
    <w:rsid w:val="00B26B69"/>
    <w:rsid w:val="00B31337"/>
    <w:rsid w:val="00B46D01"/>
    <w:rsid w:val="00B5673D"/>
    <w:rsid w:val="00B63E67"/>
    <w:rsid w:val="00B71136"/>
    <w:rsid w:val="00B711A0"/>
    <w:rsid w:val="00BA7050"/>
    <w:rsid w:val="00BC3E57"/>
    <w:rsid w:val="00C26048"/>
    <w:rsid w:val="00C47C43"/>
    <w:rsid w:val="00C51A89"/>
    <w:rsid w:val="00CA75DF"/>
    <w:rsid w:val="00CE53A3"/>
    <w:rsid w:val="00D26357"/>
    <w:rsid w:val="00D30FD3"/>
    <w:rsid w:val="00DB1B3A"/>
    <w:rsid w:val="00DC16EF"/>
    <w:rsid w:val="00E04252"/>
    <w:rsid w:val="00E04FC2"/>
    <w:rsid w:val="00E107CE"/>
    <w:rsid w:val="00E347E5"/>
    <w:rsid w:val="00E5293D"/>
    <w:rsid w:val="00E60F91"/>
    <w:rsid w:val="00E73801"/>
    <w:rsid w:val="00EB44EA"/>
    <w:rsid w:val="00EE390C"/>
    <w:rsid w:val="00F37341"/>
    <w:rsid w:val="00FB4E9E"/>
    <w:rsid w:val="00FC1900"/>
    <w:rsid w:val="00FE40A6"/>
    <w:rsid w:val="00FF6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AB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55DBC"/>
    <w:pPr>
      <w:ind w:left="720"/>
      <w:contextualSpacing/>
    </w:pPr>
  </w:style>
  <w:style w:type="paragraph" w:customStyle="1" w:styleId="Cuerpo">
    <w:name w:val="Cuerpo"/>
    <w:rsid w:val="00B46D01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Helvetica" w:eastAsia="Arial Unicode MS" w:hAnsi="Helvetica" w:cs="Arial Unicode MS"/>
      <w:color w:val="000000"/>
      <w:kern w:val="1"/>
      <w:lang w:eastAsia="zh-CN"/>
    </w:rPr>
  </w:style>
  <w:style w:type="character" w:styleId="Textoennegrita">
    <w:name w:val="Strong"/>
    <w:basedOn w:val="Fuentedeprrafopredeter"/>
    <w:uiPriority w:val="22"/>
    <w:qFormat/>
    <w:rsid w:val="0058129B"/>
    <w:rPr>
      <w:b/>
      <w:bCs/>
    </w:rPr>
  </w:style>
  <w:style w:type="character" w:styleId="nfasis">
    <w:name w:val="Emphasis"/>
    <w:basedOn w:val="Fuentedeprrafopredeter"/>
    <w:uiPriority w:val="20"/>
    <w:qFormat/>
    <w:rsid w:val="00E04F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460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JOSE IGNACIO BORGOÑOS MARTINEZ</cp:lastModifiedBy>
  <cp:revision>5</cp:revision>
  <dcterms:created xsi:type="dcterms:W3CDTF">2024-03-06T17:30:00Z</dcterms:created>
  <dcterms:modified xsi:type="dcterms:W3CDTF">2024-03-07T08:34:00Z</dcterms:modified>
</cp:coreProperties>
</file>