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31337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</w:t>
      </w:r>
      <w:r w:rsidR="00540CFD">
        <w:rPr>
          <w:rFonts w:ascii="Arial" w:hAnsi="Arial" w:cs="Arial"/>
          <w:b/>
          <w:color w:val="auto"/>
          <w:sz w:val="24"/>
          <w:szCs w:val="24"/>
        </w:rPr>
        <w:t xml:space="preserve"> ENRIQUE PÉREZ ABELLÁN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91AF6">
        <w:rPr>
          <w:rFonts w:ascii="Arial" w:hAnsi="Arial" w:cs="Arial"/>
          <w:b/>
          <w:color w:val="auto"/>
          <w:sz w:val="24"/>
          <w:szCs w:val="24"/>
        </w:rPr>
        <w:t>SOBRE `</w:t>
      </w:r>
      <w:r w:rsidR="00540CFD" w:rsidRPr="00540CFD">
        <w:rPr>
          <w:rFonts w:ascii="Arial" w:hAnsi="Arial" w:cs="Arial"/>
          <w:b/>
          <w:bCs/>
          <w:sz w:val="24"/>
          <w:szCs w:val="24"/>
          <w:lang w:val="es"/>
        </w:rPr>
        <w:t>PROMOCIÓN Y CONSOLIDACION</w:t>
      </w:r>
      <w:r w:rsidR="00540CFD">
        <w:rPr>
          <w:rFonts w:ascii="Arial" w:hAnsi="Arial" w:cs="Arial"/>
          <w:b/>
          <w:bCs/>
          <w:sz w:val="24"/>
          <w:szCs w:val="24"/>
          <w:lang w:val="es"/>
        </w:rPr>
        <w:t xml:space="preserve"> DEL TURISMO RURAL EN CARTAGENA´</w:t>
      </w:r>
    </w:p>
    <w:p w:rsidR="00615F9D" w:rsidRDefault="00615F9D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57921" w:rsidRDefault="00857921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El turismo rural surge en algunos espacios rurales del municipio, caso del oeste de Cartagena, como alternativa a las connotaciones de despoblamiento y `</w:t>
      </w:r>
      <w:proofErr w:type="spellStart"/>
      <w:r>
        <w:rPr>
          <w:rFonts w:ascii="Arial" w:hAnsi="Arial" w:cs="Arial"/>
          <w:bCs/>
          <w:sz w:val="24"/>
          <w:szCs w:val="24"/>
          <w:lang w:val="es"/>
        </w:rPr>
        <w:t>desagrarización</w:t>
      </w:r>
      <w:proofErr w:type="spellEnd"/>
      <w:r>
        <w:rPr>
          <w:rFonts w:ascii="Arial" w:hAnsi="Arial" w:cs="Arial"/>
          <w:bCs/>
          <w:sz w:val="24"/>
          <w:szCs w:val="24"/>
          <w:lang w:val="es"/>
        </w:rPr>
        <w:t xml:space="preserve">´ que sufren algunas </w:t>
      </w:r>
      <w:r w:rsidR="007D654A">
        <w:rPr>
          <w:rFonts w:ascii="Arial" w:hAnsi="Arial" w:cs="Arial"/>
          <w:bCs/>
          <w:sz w:val="24"/>
          <w:szCs w:val="24"/>
          <w:lang w:val="es"/>
        </w:rPr>
        <w:t xml:space="preserve">de estas </w:t>
      </w:r>
      <w:r>
        <w:rPr>
          <w:rFonts w:ascii="Arial" w:hAnsi="Arial" w:cs="Arial"/>
          <w:bCs/>
          <w:sz w:val="24"/>
          <w:szCs w:val="24"/>
          <w:lang w:val="es"/>
        </w:rPr>
        <w:t xml:space="preserve">zonas. Su implantación rural apoya la diversificación y complementa las fuentes de ingresos </w:t>
      </w:r>
      <w:r w:rsidR="007D654A">
        <w:rPr>
          <w:rFonts w:ascii="Arial" w:hAnsi="Arial" w:cs="Arial"/>
          <w:bCs/>
          <w:sz w:val="24"/>
          <w:szCs w:val="24"/>
          <w:lang w:val="es"/>
        </w:rPr>
        <w:t>de</w:t>
      </w:r>
      <w:r>
        <w:rPr>
          <w:rFonts w:ascii="Arial" w:hAnsi="Arial" w:cs="Arial"/>
          <w:bCs/>
          <w:sz w:val="24"/>
          <w:szCs w:val="24"/>
          <w:lang w:val="es"/>
        </w:rPr>
        <w:t xml:space="preserve"> la actividad agraria del lugar, basándose en principios de tipo ambiental, social, cultural y económico.</w:t>
      </w:r>
    </w:p>
    <w:p w:rsidR="00540CFD" w:rsidRPr="00540CFD" w:rsidRDefault="00DA2CC2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Pasados veinte años desde que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el oeste cartage</w:t>
      </w:r>
      <w:r>
        <w:rPr>
          <w:rFonts w:ascii="Arial" w:hAnsi="Arial" w:cs="Arial"/>
          <w:bCs/>
          <w:sz w:val="24"/>
          <w:szCs w:val="24"/>
          <w:lang w:val="es"/>
        </w:rPr>
        <w:t>nero diera los primeros pasos a la hora de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identificarse como punto endó</w:t>
      </w:r>
      <w:r w:rsidR="00540CFD">
        <w:rPr>
          <w:rFonts w:ascii="Arial" w:hAnsi="Arial" w:cs="Arial"/>
          <w:bCs/>
          <w:sz w:val="24"/>
          <w:szCs w:val="24"/>
          <w:lang w:val="es"/>
        </w:rPr>
        <w:t>geno turí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stico recuperando </w:t>
      </w:r>
      <w:r w:rsidR="00377950">
        <w:rPr>
          <w:rFonts w:ascii="Arial" w:hAnsi="Arial" w:cs="Arial"/>
          <w:bCs/>
          <w:sz w:val="24"/>
          <w:szCs w:val="24"/>
          <w:lang w:val="es"/>
        </w:rPr>
        <w:t xml:space="preserve">su </w:t>
      </w:r>
      <w:r>
        <w:rPr>
          <w:rFonts w:ascii="Arial" w:hAnsi="Arial" w:cs="Arial"/>
          <w:bCs/>
          <w:sz w:val="24"/>
          <w:szCs w:val="24"/>
          <w:lang w:val="es"/>
        </w:rPr>
        <w:t xml:space="preserve">patrimonio y los 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>recursos naturales y culturales de su entorno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a través de </w:t>
      </w:r>
      <w:r>
        <w:rPr>
          <w:rFonts w:ascii="Arial" w:hAnsi="Arial" w:cs="Arial"/>
          <w:bCs/>
          <w:sz w:val="24"/>
          <w:szCs w:val="24"/>
          <w:lang w:val="es"/>
        </w:rPr>
        <w:t>actuaciones públicas y privadas,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aún </w:t>
      </w:r>
      <w:r>
        <w:rPr>
          <w:rFonts w:ascii="Arial" w:hAnsi="Arial" w:cs="Arial"/>
          <w:bCs/>
          <w:sz w:val="24"/>
          <w:szCs w:val="24"/>
          <w:lang w:val="es"/>
        </w:rPr>
        <w:t>no ha llegado a su cenit, p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or lo que es necesario mantener </w:t>
      </w:r>
      <w:r>
        <w:rPr>
          <w:rFonts w:ascii="Arial" w:hAnsi="Arial" w:cs="Arial"/>
          <w:bCs/>
          <w:sz w:val="24"/>
          <w:szCs w:val="24"/>
          <w:lang w:val="es"/>
        </w:rPr>
        <w:t xml:space="preserve">por un lado 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>su uso compatible y sostenible y, por otro lado, diversificar la base económica y social de la zona con el fomento y difusión para su consolidación, por lo que es imprescindible la intervención de</w:t>
      </w:r>
      <w:r>
        <w:rPr>
          <w:rFonts w:ascii="Arial" w:hAnsi="Arial" w:cs="Arial"/>
          <w:bCs/>
          <w:sz w:val="24"/>
          <w:szCs w:val="24"/>
          <w:lang w:val="es"/>
        </w:rPr>
        <w:t xml:space="preserve"> la administración tanto local como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regional.</w:t>
      </w:r>
    </w:p>
    <w:p w:rsidR="00540CFD" w:rsidRPr="00540CFD" w:rsidRDefault="00DA2CC2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El turismo rural del o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este </w:t>
      </w:r>
      <w:r>
        <w:rPr>
          <w:rFonts w:ascii="Arial" w:hAnsi="Arial" w:cs="Arial"/>
          <w:bCs/>
          <w:sz w:val="24"/>
          <w:szCs w:val="24"/>
          <w:lang w:val="es"/>
        </w:rPr>
        <w:t xml:space="preserve">del municipio 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debe ser un recurso vital y sostenible en la lucha contra el cambio climático 2030, además de apreciar sus tradiciones y propia cultura con su conservación y </w:t>
      </w:r>
      <w:r>
        <w:rPr>
          <w:rFonts w:ascii="Arial" w:hAnsi="Arial" w:cs="Arial"/>
          <w:bCs/>
          <w:sz w:val="24"/>
          <w:szCs w:val="24"/>
          <w:lang w:val="es"/>
        </w:rPr>
        <w:t xml:space="preserve">con la 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>promoción de la economía local del territorio.</w:t>
      </w:r>
    </w:p>
    <w:p w:rsidR="00540CFD" w:rsidRPr="00540CFD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t>Por el entorno natural donde se desarrol</w:t>
      </w:r>
      <w:r w:rsidR="00377950">
        <w:rPr>
          <w:rFonts w:ascii="Arial" w:hAnsi="Arial" w:cs="Arial"/>
          <w:bCs/>
          <w:sz w:val="24"/>
          <w:szCs w:val="24"/>
          <w:lang w:val="es"/>
        </w:rPr>
        <w:t xml:space="preserve">lan las actividades, la zona reúne a </w:t>
      </w:r>
      <w:r w:rsidRPr="00540CFD">
        <w:rPr>
          <w:rFonts w:ascii="Arial" w:hAnsi="Arial" w:cs="Arial"/>
          <w:bCs/>
          <w:sz w:val="24"/>
          <w:szCs w:val="24"/>
          <w:lang w:val="es"/>
        </w:rPr>
        <w:t>día de hoy todas las c</w:t>
      </w:r>
      <w:r>
        <w:rPr>
          <w:rFonts w:ascii="Arial" w:hAnsi="Arial" w:cs="Arial"/>
          <w:bCs/>
          <w:sz w:val="24"/>
          <w:szCs w:val="24"/>
          <w:lang w:val="es"/>
        </w:rPr>
        <w:t>aracterí</w:t>
      </w:r>
      <w:r w:rsidRPr="00540CFD">
        <w:rPr>
          <w:rFonts w:ascii="Arial" w:hAnsi="Arial" w:cs="Arial"/>
          <w:bCs/>
          <w:sz w:val="24"/>
          <w:szCs w:val="24"/>
          <w:lang w:val="es"/>
        </w:rPr>
        <w:t>sticas posibles para llevar a cabo un turismo sostenible de cercanía</w:t>
      </w:r>
      <w:r w:rsidR="00DA2CC2">
        <w:rPr>
          <w:rFonts w:ascii="Arial" w:hAnsi="Arial" w:cs="Arial"/>
          <w:bCs/>
          <w:sz w:val="24"/>
          <w:szCs w:val="24"/>
          <w:lang w:val="es"/>
        </w:rPr>
        <w:t>, con escapadas de fin de semana</w:t>
      </w:r>
      <w:r w:rsidRPr="00540CFD">
        <w:rPr>
          <w:rFonts w:ascii="Arial" w:hAnsi="Arial" w:cs="Arial"/>
          <w:bCs/>
          <w:sz w:val="24"/>
          <w:szCs w:val="24"/>
          <w:lang w:val="es"/>
        </w:rPr>
        <w:t>, cortas estancias y per</w:t>
      </w:r>
      <w:r w:rsidR="00DA2CC2">
        <w:rPr>
          <w:rFonts w:ascii="Arial" w:hAnsi="Arial" w:cs="Arial"/>
          <w:bCs/>
          <w:sz w:val="24"/>
          <w:szCs w:val="24"/>
          <w:lang w:val="es"/>
        </w:rPr>
        <w:t>iodos vacacionales estacionales;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DA2CC2">
        <w:rPr>
          <w:rFonts w:ascii="Arial" w:hAnsi="Arial" w:cs="Arial"/>
          <w:bCs/>
          <w:sz w:val="24"/>
          <w:szCs w:val="24"/>
          <w:lang w:val="es"/>
        </w:rPr>
        <w:t>todo ello respaldado por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valores saludables, patrimoniales y culturales.</w:t>
      </w:r>
    </w:p>
    <w:p w:rsidR="00540CFD" w:rsidRPr="00540CFD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t>La expresión "Destino Rural</w:t>
      </w:r>
      <w:r w:rsidR="00377950">
        <w:rPr>
          <w:rFonts w:ascii="Arial" w:hAnsi="Arial" w:cs="Arial"/>
          <w:bCs/>
          <w:sz w:val="24"/>
          <w:szCs w:val="24"/>
          <w:lang w:val="es"/>
        </w:rPr>
        <w:t xml:space="preserve"> Cartagena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Oeste" valora la gastronomía de proximidad basada en alimentos de calidad autóctona</w:t>
      </w:r>
      <w:r w:rsidR="00377950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ofrecidos desde sus propias explotaciones y granjas existentes</w:t>
      </w:r>
      <w:r w:rsidR="00DA2CC2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co</w:t>
      </w:r>
      <w:r>
        <w:rPr>
          <w:rFonts w:ascii="Arial" w:hAnsi="Arial" w:cs="Arial"/>
          <w:bCs/>
          <w:sz w:val="24"/>
          <w:szCs w:val="24"/>
          <w:lang w:val="es"/>
        </w:rPr>
        <w:t>n su transformación y elaboració</w:t>
      </w:r>
      <w:r w:rsidRPr="00540CFD">
        <w:rPr>
          <w:rFonts w:ascii="Arial" w:hAnsi="Arial" w:cs="Arial"/>
          <w:bCs/>
          <w:sz w:val="24"/>
          <w:szCs w:val="24"/>
          <w:lang w:val="es"/>
        </w:rPr>
        <w:t>n de productos propios en singulares establecimientos, ventas y restaur</w:t>
      </w:r>
      <w:r w:rsidR="00377950">
        <w:rPr>
          <w:rFonts w:ascii="Arial" w:hAnsi="Arial" w:cs="Arial"/>
          <w:bCs/>
          <w:sz w:val="24"/>
          <w:szCs w:val="24"/>
          <w:lang w:val="es"/>
        </w:rPr>
        <w:t>antes.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377950">
        <w:rPr>
          <w:rFonts w:ascii="Arial" w:hAnsi="Arial" w:cs="Arial"/>
          <w:bCs/>
          <w:sz w:val="24"/>
          <w:szCs w:val="24"/>
          <w:lang w:val="es"/>
        </w:rPr>
        <w:t>A</w:t>
      </w:r>
      <w:r w:rsidRPr="00540CFD">
        <w:rPr>
          <w:rFonts w:ascii="Arial" w:hAnsi="Arial" w:cs="Arial"/>
          <w:bCs/>
          <w:sz w:val="24"/>
          <w:szCs w:val="24"/>
          <w:lang w:val="es"/>
        </w:rPr>
        <w:t>demás de mover actividades compatibles en su entorno</w:t>
      </w:r>
      <w:r w:rsidR="00DA2CC2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que valoran de forma particular la agricultura de secano, ganadería, fauna y flora, preservando espacios y especies protegidas en peligro de extinción, </w:t>
      </w:r>
      <w:r w:rsidR="00DA2CC2">
        <w:rPr>
          <w:rFonts w:ascii="Arial" w:hAnsi="Arial" w:cs="Arial"/>
          <w:bCs/>
          <w:sz w:val="24"/>
          <w:szCs w:val="24"/>
          <w:lang w:val="es"/>
        </w:rPr>
        <w:t xml:space="preserve">así como </w:t>
      </w:r>
      <w:r w:rsidRPr="00540CFD">
        <w:rPr>
          <w:rFonts w:ascii="Arial" w:hAnsi="Arial" w:cs="Arial"/>
          <w:bCs/>
          <w:sz w:val="24"/>
          <w:szCs w:val="24"/>
          <w:lang w:val="es"/>
        </w:rPr>
        <w:t>proporcionando un modelo de vida más sano a vecinos, residentes y visitantes.</w:t>
      </w:r>
    </w:p>
    <w:p w:rsidR="00540CFD" w:rsidRPr="00540CFD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t>Rutas senderistas de costa</w:t>
      </w:r>
      <w:r w:rsidR="00DA2CC2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como la GR-92</w:t>
      </w:r>
      <w:r w:rsidR="00DA2CC2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nos acerca</w:t>
      </w:r>
      <w:r w:rsidR="00DA2CC2">
        <w:rPr>
          <w:rFonts w:ascii="Arial" w:hAnsi="Arial" w:cs="Arial"/>
          <w:bCs/>
          <w:sz w:val="24"/>
          <w:szCs w:val="24"/>
          <w:lang w:val="es"/>
        </w:rPr>
        <w:t>n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a visualizar la belleza del Mediterráneo desde Sierra La Muela hasta Cabo Ti</w:t>
      </w:r>
      <w:r>
        <w:rPr>
          <w:rFonts w:ascii="Arial" w:hAnsi="Arial" w:cs="Arial"/>
          <w:bCs/>
          <w:sz w:val="24"/>
          <w:szCs w:val="24"/>
          <w:lang w:val="es"/>
        </w:rPr>
        <w:t>ñoso, conociendo antiguas baterí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as del pasado siglo como Castillitos, 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Jorel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 xml:space="preserve">, 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Atalayón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y cuarteles militares, abandonados un</w:t>
      </w:r>
      <w:r>
        <w:rPr>
          <w:rFonts w:ascii="Arial" w:hAnsi="Arial" w:cs="Arial"/>
          <w:bCs/>
          <w:sz w:val="24"/>
          <w:szCs w:val="24"/>
          <w:lang w:val="es"/>
        </w:rPr>
        <w:t>os y otros recuperados por ini</w:t>
      </w:r>
      <w:r w:rsidRPr="00540CFD">
        <w:rPr>
          <w:rFonts w:ascii="Arial" w:hAnsi="Arial" w:cs="Arial"/>
          <w:bCs/>
          <w:sz w:val="24"/>
          <w:szCs w:val="24"/>
          <w:lang w:val="es"/>
        </w:rPr>
        <w:t>ciativa p</w:t>
      </w:r>
      <w:r w:rsidR="00DA2CC2">
        <w:rPr>
          <w:rFonts w:ascii="Arial" w:hAnsi="Arial" w:cs="Arial"/>
          <w:bCs/>
          <w:sz w:val="24"/>
          <w:szCs w:val="24"/>
          <w:lang w:val="es"/>
        </w:rPr>
        <w:t>rivada con su puesta en valor para el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ecoturismo; mientras que otros senderos in</w:t>
      </w:r>
      <w:r w:rsidR="00377950">
        <w:rPr>
          <w:rFonts w:ascii="Arial" w:hAnsi="Arial" w:cs="Arial"/>
          <w:bCs/>
          <w:sz w:val="24"/>
          <w:szCs w:val="24"/>
          <w:lang w:val="es"/>
        </w:rPr>
        <w:t xml:space="preserve">teriores como el PR </w:t>
      </w:r>
      <w:r>
        <w:rPr>
          <w:rFonts w:ascii="Arial" w:hAnsi="Arial" w:cs="Arial"/>
          <w:bCs/>
          <w:sz w:val="24"/>
          <w:szCs w:val="24"/>
          <w:lang w:val="es"/>
        </w:rPr>
        <w:t>106 (Sta. Bá</w:t>
      </w:r>
      <w:r w:rsidRPr="00540CFD">
        <w:rPr>
          <w:rFonts w:ascii="Arial" w:hAnsi="Arial" w:cs="Arial"/>
          <w:bCs/>
          <w:sz w:val="24"/>
          <w:szCs w:val="24"/>
          <w:lang w:val="es"/>
        </w:rPr>
        <w:t>rbara), PR 107 (Tallante) y PR 116 (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Galifa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>) nos llevan a conocer y recorrer ca</w:t>
      </w:r>
      <w:r>
        <w:rPr>
          <w:rFonts w:ascii="Arial" w:hAnsi="Arial" w:cs="Arial"/>
          <w:bCs/>
          <w:sz w:val="24"/>
          <w:szCs w:val="24"/>
          <w:lang w:val="es"/>
        </w:rPr>
        <w:t>nalizaciones y depó</w:t>
      </w:r>
      <w:r w:rsidR="00DA2CC2">
        <w:rPr>
          <w:rFonts w:ascii="Arial" w:hAnsi="Arial" w:cs="Arial"/>
          <w:bCs/>
          <w:sz w:val="24"/>
          <w:szCs w:val="24"/>
          <w:lang w:val="es"/>
        </w:rPr>
        <w:t>sitos de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abastecimiento de agua para Cartagena</w:t>
      </w:r>
      <w:r w:rsidR="00491655">
        <w:rPr>
          <w:rFonts w:ascii="Arial" w:hAnsi="Arial" w:cs="Arial"/>
          <w:bCs/>
          <w:sz w:val="24"/>
          <w:szCs w:val="24"/>
          <w:lang w:val="es"/>
        </w:rPr>
        <w:t>, captada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desde 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Perín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 xml:space="preserve">, Los Puertos y 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Galifa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entre otros puntos</w:t>
      </w:r>
      <w:r w:rsidR="00491655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desde la mitad de siglo XIX a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491655">
        <w:rPr>
          <w:rFonts w:ascii="Arial" w:hAnsi="Arial" w:cs="Arial"/>
          <w:bCs/>
          <w:sz w:val="24"/>
          <w:szCs w:val="24"/>
          <w:lang w:val="es"/>
        </w:rPr>
        <w:t>través de la Cí</w:t>
      </w:r>
      <w:r w:rsidRPr="00540CFD">
        <w:rPr>
          <w:rFonts w:ascii="Arial" w:hAnsi="Arial" w:cs="Arial"/>
          <w:bCs/>
          <w:sz w:val="24"/>
          <w:szCs w:val="24"/>
          <w:lang w:val="es"/>
        </w:rPr>
        <w:t>a. Inglesa "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Carthagena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Water&amp;Mining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</w:t>
      </w:r>
      <w:proofErr w:type="spellStart"/>
      <w:r w:rsidRPr="00540CFD">
        <w:rPr>
          <w:rFonts w:ascii="Arial" w:hAnsi="Arial" w:cs="Arial"/>
          <w:bCs/>
          <w:sz w:val="24"/>
          <w:szCs w:val="24"/>
          <w:lang w:val="es"/>
        </w:rPr>
        <w:t>Co.Ltd</w:t>
      </w:r>
      <w:proofErr w:type="spellEnd"/>
      <w:r w:rsidRPr="00540CFD">
        <w:rPr>
          <w:rFonts w:ascii="Arial" w:hAnsi="Arial" w:cs="Arial"/>
          <w:bCs/>
          <w:sz w:val="24"/>
          <w:szCs w:val="24"/>
          <w:lang w:val="es"/>
        </w:rPr>
        <w:t>", como también la ruta senderista de Tallante</w:t>
      </w:r>
      <w:r w:rsidR="00491655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que recorre áreas volcánicas del territorio y la protección de vegetación</w:t>
      </w:r>
      <w:r w:rsidR="00491655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como es el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caso del </w:t>
      </w:r>
      <w:r w:rsidRPr="00540CFD">
        <w:rPr>
          <w:rFonts w:ascii="Arial" w:hAnsi="Arial" w:cs="Arial"/>
          <w:bCs/>
          <w:sz w:val="24"/>
          <w:szCs w:val="24"/>
          <w:lang w:val="es"/>
        </w:rPr>
        <w:t>garbancillo.</w:t>
      </w:r>
    </w:p>
    <w:p w:rsidR="00540CFD" w:rsidRPr="00540CFD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lastRenderedPageBreak/>
        <w:t xml:space="preserve">El patrimonio rural es otro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atractivo, con 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la rehabilitación de algún que otro molino,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ermitas de finales de siglo XVIII y XIX, norias, aulas de la naturaleza, museos </w:t>
      </w:r>
      <w:r>
        <w:rPr>
          <w:rFonts w:ascii="Arial" w:hAnsi="Arial" w:cs="Arial"/>
          <w:bCs/>
          <w:sz w:val="24"/>
          <w:szCs w:val="24"/>
          <w:lang w:val="es"/>
        </w:rPr>
        <w:t xml:space="preserve">y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>
        <w:rPr>
          <w:rFonts w:ascii="Arial" w:hAnsi="Arial" w:cs="Arial"/>
          <w:bCs/>
          <w:sz w:val="24"/>
          <w:szCs w:val="24"/>
          <w:lang w:val="es"/>
        </w:rPr>
        <w:t>recuperación de trabajos ances</w:t>
      </w:r>
      <w:r w:rsidR="00491655">
        <w:rPr>
          <w:rFonts w:ascii="Arial" w:hAnsi="Arial" w:cs="Arial"/>
          <w:bCs/>
          <w:sz w:val="24"/>
          <w:szCs w:val="24"/>
          <w:lang w:val="es"/>
        </w:rPr>
        <w:t>trales como el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esparto, bolillo, pedrizas de piedra seca para restituir bancales, cuadrillas con cantos navideños y aguinaldos, trovos, etc., todo como muestra de</w:t>
      </w:r>
      <w:r w:rsidR="00491655">
        <w:rPr>
          <w:rFonts w:ascii="Arial" w:hAnsi="Arial" w:cs="Arial"/>
          <w:bCs/>
          <w:sz w:val="24"/>
          <w:szCs w:val="24"/>
          <w:lang w:val="es"/>
        </w:rPr>
        <w:t>l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patrimonio recuperado y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de las </w:t>
      </w:r>
      <w:r w:rsidRPr="00540CFD">
        <w:rPr>
          <w:rFonts w:ascii="Arial" w:hAnsi="Arial" w:cs="Arial"/>
          <w:bCs/>
          <w:sz w:val="24"/>
          <w:szCs w:val="24"/>
          <w:lang w:val="es"/>
        </w:rPr>
        <w:t>costumbres a</w:t>
      </w:r>
      <w:r>
        <w:rPr>
          <w:rFonts w:ascii="Arial" w:hAnsi="Arial" w:cs="Arial"/>
          <w:bCs/>
          <w:sz w:val="24"/>
          <w:szCs w:val="24"/>
          <w:lang w:val="es"/>
        </w:rPr>
        <w:t>nces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trales rescatadas. </w:t>
      </w:r>
    </w:p>
    <w:p w:rsidR="00540CFD" w:rsidRPr="00540CFD" w:rsidRDefault="00491655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A e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>s</w:t>
      </w:r>
      <w:r>
        <w:rPr>
          <w:rFonts w:ascii="Arial" w:hAnsi="Arial" w:cs="Arial"/>
          <w:bCs/>
          <w:sz w:val="24"/>
          <w:szCs w:val="24"/>
          <w:lang w:val="es"/>
        </w:rPr>
        <w:t>ta reciente revalorización del oeste cartagenero recogida en el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video promocional "Tesoros Rurales de Cartagena",  hay que sumarle la apuesta empresarial por el turismo en la zona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 con la disponibilidad de 200 </w:t>
      </w:r>
      <w:r w:rsidR="008D160E">
        <w:rPr>
          <w:rFonts w:ascii="Arial" w:hAnsi="Arial" w:cs="Arial"/>
          <w:bCs/>
          <w:sz w:val="24"/>
          <w:szCs w:val="24"/>
          <w:lang w:val="es"/>
        </w:rPr>
        <w:t xml:space="preserve">plazas en 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>alojamientos rurales y servicios complementarios de ocio vinculados a l</w:t>
      </w:r>
      <w:r w:rsidR="00540CFD">
        <w:rPr>
          <w:rFonts w:ascii="Arial" w:hAnsi="Arial" w:cs="Arial"/>
          <w:bCs/>
          <w:sz w:val="24"/>
          <w:szCs w:val="24"/>
          <w:lang w:val="es"/>
        </w:rPr>
        <w:t>os recursos territoriales, histó</w:t>
      </w:r>
      <w:r w:rsidR="00540CFD" w:rsidRPr="00540CFD">
        <w:rPr>
          <w:rFonts w:ascii="Arial" w:hAnsi="Arial" w:cs="Arial"/>
          <w:bCs/>
          <w:sz w:val="24"/>
          <w:szCs w:val="24"/>
          <w:lang w:val="es"/>
        </w:rPr>
        <w:t xml:space="preserve">ricos y culturales que han permitido su revitalización.  </w:t>
      </w:r>
    </w:p>
    <w:p w:rsidR="00540CFD" w:rsidRPr="00540CFD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t>Todo ello eje</w:t>
      </w:r>
      <w:r>
        <w:rPr>
          <w:rFonts w:ascii="Arial" w:hAnsi="Arial" w:cs="Arial"/>
          <w:bCs/>
          <w:sz w:val="24"/>
          <w:szCs w:val="24"/>
          <w:lang w:val="es"/>
        </w:rPr>
        <w:t>rce un importante papel dinami</w:t>
      </w:r>
      <w:r w:rsidRPr="00540CFD">
        <w:rPr>
          <w:rFonts w:ascii="Arial" w:hAnsi="Arial" w:cs="Arial"/>
          <w:bCs/>
          <w:sz w:val="24"/>
          <w:szCs w:val="24"/>
          <w:lang w:val="es"/>
        </w:rPr>
        <w:t>zador en el desarrollo socioeconó</w:t>
      </w:r>
      <w:r w:rsidR="00491655">
        <w:rPr>
          <w:rFonts w:ascii="Arial" w:hAnsi="Arial" w:cs="Arial"/>
          <w:bCs/>
          <w:sz w:val="24"/>
          <w:szCs w:val="24"/>
          <w:lang w:val="es"/>
        </w:rPr>
        <w:t>mico de esta área rural de 185 k</w:t>
      </w:r>
      <w:r w:rsidRPr="00540CFD">
        <w:rPr>
          <w:rFonts w:ascii="Arial" w:hAnsi="Arial" w:cs="Arial"/>
          <w:bCs/>
          <w:sz w:val="24"/>
          <w:szCs w:val="24"/>
          <w:lang w:val="es"/>
        </w:rPr>
        <w:t>m</w:t>
      </w:r>
      <w:r w:rsidRPr="00491655">
        <w:rPr>
          <w:rFonts w:ascii="Arial" w:hAnsi="Arial" w:cs="Arial"/>
          <w:bCs/>
          <w:sz w:val="24"/>
          <w:szCs w:val="24"/>
          <w:vertAlign w:val="superscript"/>
          <w:lang w:val="es"/>
        </w:rPr>
        <w:t>2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 y 23 k</w:t>
      </w:r>
      <w:r w:rsidRPr="00540CFD">
        <w:rPr>
          <w:rFonts w:ascii="Arial" w:hAnsi="Arial" w:cs="Arial"/>
          <w:bCs/>
          <w:sz w:val="24"/>
          <w:szCs w:val="24"/>
          <w:lang w:val="es"/>
        </w:rPr>
        <w:t>m de costa del mun</w:t>
      </w:r>
      <w:r>
        <w:rPr>
          <w:rFonts w:ascii="Arial" w:hAnsi="Arial" w:cs="Arial"/>
          <w:bCs/>
          <w:sz w:val="24"/>
          <w:szCs w:val="24"/>
          <w:lang w:val="es"/>
        </w:rPr>
        <w:t>icipio</w:t>
      </w:r>
      <w:r w:rsidR="00491655">
        <w:rPr>
          <w:rFonts w:ascii="Arial" w:hAnsi="Arial" w:cs="Arial"/>
          <w:bCs/>
          <w:sz w:val="24"/>
          <w:szCs w:val="24"/>
          <w:lang w:val="es"/>
        </w:rPr>
        <w:t>,</w:t>
      </w:r>
      <w:r>
        <w:rPr>
          <w:rFonts w:ascii="Arial" w:hAnsi="Arial" w:cs="Arial"/>
          <w:bCs/>
          <w:sz w:val="24"/>
          <w:szCs w:val="24"/>
          <w:lang w:val="es"/>
        </w:rPr>
        <w:t xml:space="preserve"> por su alto valor paisají</w:t>
      </w:r>
      <w:r w:rsidRPr="00540CFD">
        <w:rPr>
          <w:rFonts w:ascii="Arial" w:hAnsi="Arial" w:cs="Arial"/>
          <w:bCs/>
          <w:sz w:val="24"/>
          <w:szCs w:val="24"/>
          <w:lang w:val="es"/>
        </w:rPr>
        <w:t>stico y natural, pero que al mismo tiempo se enfrenta a importantes desequilibrios estructurales</w:t>
      </w:r>
      <w:r w:rsidR="00491655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491655">
        <w:rPr>
          <w:rFonts w:ascii="Arial" w:hAnsi="Arial" w:cs="Arial"/>
          <w:bCs/>
          <w:sz w:val="24"/>
          <w:szCs w:val="24"/>
          <w:lang w:val="es"/>
        </w:rPr>
        <w:t>ya que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su </w:t>
      </w:r>
      <w:r w:rsidR="00491655">
        <w:rPr>
          <w:rFonts w:ascii="Arial" w:hAnsi="Arial" w:cs="Arial"/>
          <w:bCs/>
          <w:sz w:val="24"/>
          <w:szCs w:val="24"/>
          <w:lang w:val="es"/>
        </w:rPr>
        <w:t>propia orografía presenta dificultades para el correcto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desarrollo de algunas infraestructuras y servicios. </w:t>
      </w:r>
    </w:p>
    <w:p w:rsidR="00857921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t>Dos décadas han sido precisas</w:t>
      </w:r>
      <w:r w:rsidR="00491655">
        <w:rPr>
          <w:rFonts w:ascii="Arial" w:hAnsi="Arial" w:cs="Arial"/>
          <w:bCs/>
          <w:sz w:val="24"/>
          <w:szCs w:val="24"/>
          <w:lang w:val="es"/>
        </w:rPr>
        <w:t>, con el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sosegado y constante trabajo de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asociaciones,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de los </w:t>
      </w:r>
      <w:r w:rsidRPr="00540CFD">
        <w:rPr>
          <w:rFonts w:ascii="Arial" w:hAnsi="Arial" w:cs="Arial"/>
          <w:bCs/>
          <w:sz w:val="24"/>
          <w:szCs w:val="24"/>
          <w:lang w:val="es"/>
        </w:rPr>
        <w:t>profesionales de</w:t>
      </w:r>
      <w:r>
        <w:rPr>
          <w:rFonts w:ascii="Arial" w:hAnsi="Arial" w:cs="Arial"/>
          <w:bCs/>
          <w:sz w:val="24"/>
          <w:szCs w:val="24"/>
          <w:lang w:val="es"/>
        </w:rPr>
        <w:t xml:space="preserve">l sector e incluso </w:t>
      </w:r>
      <w:r w:rsidR="00491655">
        <w:rPr>
          <w:rFonts w:ascii="Arial" w:hAnsi="Arial" w:cs="Arial"/>
          <w:bCs/>
          <w:sz w:val="24"/>
          <w:szCs w:val="24"/>
          <w:lang w:val="es"/>
        </w:rPr>
        <w:t xml:space="preserve">de la </w:t>
      </w:r>
      <w:r>
        <w:rPr>
          <w:rFonts w:ascii="Arial" w:hAnsi="Arial" w:cs="Arial"/>
          <w:bCs/>
          <w:sz w:val="24"/>
          <w:szCs w:val="24"/>
          <w:lang w:val="es"/>
        </w:rPr>
        <w:t>administració</w:t>
      </w:r>
      <w:r w:rsidR="00491655">
        <w:rPr>
          <w:rFonts w:ascii="Arial" w:hAnsi="Arial" w:cs="Arial"/>
          <w:bCs/>
          <w:sz w:val="24"/>
          <w:szCs w:val="24"/>
          <w:lang w:val="es"/>
        </w:rPr>
        <w:t>n, para sacar al o</w:t>
      </w:r>
      <w:r w:rsidRPr="00540CFD">
        <w:rPr>
          <w:rFonts w:ascii="Arial" w:hAnsi="Arial" w:cs="Arial"/>
          <w:bCs/>
          <w:sz w:val="24"/>
          <w:szCs w:val="24"/>
          <w:lang w:val="es"/>
        </w:rPr>
        <w:t>est</w:t>
      </w:r>
      <w:r w:rsidR="00491655">
        <w:rPr>
          <w:rFonts w:ascii="Arial" w:hAnsi="Arial" w:cs="Arial"/>
          <w:bCs/>
          <w:sz w:val="24"/>
          <w:szCs w:val="24"/>
          <w:lang w:val="es"/>
        </w:rPr>
        <w:t>e c</w:t>
      </w:r>
      <w:r>
        <w:rPr>
          <w:rFonts w:ascii="Arial" w:hAnsi="Arial" w:cs="Arial"/>
          <w:bCs/>
          <w:sz w:val="24"/>
          <w:szCs w:val="24"/>
          <w:lang w:val="es"/>
        </w:rPr>
        <w:t>artagenero de su letargo turí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stico y ponerlo en </w:t>
      </w:r>
      <w:r w:rsidR="00D41B1F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Pr="00540CFD">
        <w:rPr>
          <w:rFonts w:ascii="Arial" w:hAnsi="Arial" w:cs="Arial"/>
          <w:bCs/>
          <w:sz w:val="24"/>
          <w:szCs w:val="24"/>
          <w:lang w:val="es"/>
        </w:rPr>
        <w:t>puesto de salida del turismo rural, que a partir de ahora necesitará un revulsivo para su promoción y oferta</w:t>
      </w:r>
      <w:r w:rsidR="00D41B1F">
        <w:rPr>
          <w:rFonts w:ascii="Arial" w:hAnsi="Arial" w:cs="Arial"/>
          <w:bCs/>
          <w:sz w:val="24"/>
          <w:szCs w:val="24"/>
          <w:lang w:val="es"/>
        </w:rPr>
        <w:t>,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 a diferencia de otras </w:t>
      </w:r>
      <w:r>
        <w:rPr>
          <w:rFonts w:ascii="Arial" w:hAnsi="Arial" w:cs="Arial"/>
          <w:bCs/>
          <w:sz w:val="24"/>
          <w:szCs w:val="24"/>
          <w:lang w:val="es"/>
        </w:rPr>
        <w:t xml:space="preserve">tipologías más consolidadas, 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="007D654A">
        <w:rPr>
          <w:rFonts w:ascii="Arial" w:hAnsi="Arial" w:cs="Arial"/>
          <w:bCs/>
          <w:sz w:val="24"/>
          <w:szCs w:val="24"/>
          <w:lang w:val="es"/>
        </w:rPr>
        <w:t xml:space="preserve">su promoción </w:t>
      </w:r>
      <w:r w:rsidR="00857921">
        <w:rPr>
          <w:rFonts w:ascii="Arial" w:hAnsi="Arial" w:cs="Arial"/>
          <w:bCs/>
          <w:sz w:val="24"/>
          <w:szCs w:val="24"/>
          <w:lang w:val="es"/>
        </w:rPr>
        <w:t>turística propia.</w:t>
      </w:r>
    </w:p>
    <w:p w:rsidR="00615F9D" w:rsidRPr="00540CFD" w:rsidRDefault="00540CFD" w:rsidP="00540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40CFD">
        <w:rPr>
          <w:rFonts w:ascii="Arial" w:hAnsi="Arial" w:cs="Arial"/>
          <w:bCs/>
          <w:sz w:val="24"/>
          <w:szCs w:val="24"/>
          <w:lang w:val="es"/>
        </w:rPr>
        <w:t>No olvidemos que una buena marca tu</w:t>
      </w:r>
      <w:r>
        <w:rPr>
          <w:rFonts w:ascii="Arial" w:hAnsi="Arial" w:cs="Arial"/>
          <w:bCs/>
          <w:sz w:val="24"/>
          <w:szCs w:val="24"/>
          <w:lang w:val="es"/>
        </w:rPr>
        <w:t>rí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stica distintiva de la zona contribuiría al crecimiento de la economía </w:t>
      </w:r>
      <w:r w:rsidR="008D160E">
        <w:rPr>
          <w:rFonts w:ascii="Arial" w:hAnsi="Arial" w:cs="Arial"/>
          <w:bCs/>
          <w:sz w:val="24"/>
          <w:szCs w:val="24"/>
          <w:lang w:val="es"/>
        </w:rPr>
        <w:t>de ésta</w:t>
      </w:r>
      <w:r w:rsidRPr="00540CFD">
        <w:rPr>
          <w:rFonts w:ascii="Arial" w:hAnsi="Arial" w:cs="Arial"/>
          <w:bCs/>
          <w:sz w:val="24"/>
          <w:szCs w:val="24"/>
          <w:lang w:val="es"/>
        </w:rPr>
        <w:t>, atraería inversiones, generaría empleo</w:t>
      </w:r>
      <w:r w:rsidR="002815E2">
        <w:rPr>
          <w:rFonts w:ascii="Arial" w:hAnsi="Arial" w:cs="Arial"/>
          <w:bCs/>
          <w:sz w:val="24"/>
          <w:szCs w:val="24"/>
          <w:lang w:val="es"/>
        </w:rPr>
        <w:t xml:space="preserve">, proyectaría una imagen de la </w:t>
      </w:r>
      <w:r w:rsidRPr="00540CFD">
        <w:rPr>
          <w:rFonts w:ascii="Arial" w:hAnsi="Arial" w:cs="Arial"/>
          <w:bCs/>
          <w:sz w:val="24"/>
          <w:szCs w:val="24"/>
          <w:lang w:val="es"/>
        </w:rPr>
        <w:t>calidad para que sea consumida en circuitos regionales y nacion</w:t>
      </w:r>
      <w:r>
        <w:rPr>
          <w:rFonts w:ascii="Arial" w:hAnsi="Arial" w:cs="Arial"/>
          <w:bCs/>
          <w:sz w:val="24"/>
          <w:szCs w:val="24"/>
          <w:lang w:val="es"/>
        </w:rPr>
        <w:t>a</w:t>
      </w:r>
      <w:r w:rsidRPr="00540CFD">
        <w:rPr>
          <w:rFonts w:ascii="Arial" w:hAnsi="Arial" w:cs="Arial"/>
          <w:bCs/>
          <w:sz w:val="24"/>
          <w:szCs w:val="24"/>
          <w:lang w:val="es"/>
        </w:rPr>
        <w:t>les, además de ser una respuesta a dis</w:t>
      </w:r>
      <w:r>
        <w:rPr>
          <w:rFonts w:ascii="Arial" w:hAnsi="Arial" w:cs="Arial"/>
          <w:bCs/>
          <w:sz w:val="24"/>
          <w:szCs w:val="24"/>
          <w:lang w:val="es"/>
        </w:rPr>
        <w:t>tintos fenó</w:t>
      </w:r>
      <w:r w:rsidRPr="00540CFD">
        <w:rPr>
          <w:rFonts w:ascii="Arial" w:hAnsi="Arial" w:cs="Arial"/>
          <w:bCs/>
          <w:sz w:val="24"/>
          <w:szCs w:val="24"/>
          <w:lang w:val="es"/>
        </w:rPr>
        <w:t>menos que el campo viene sufriendo con  su de</w:t>
      </w:r>
      <w:r>
        <w:rPr>
          <w:rFonts w:ascii="Arial" w:hAnsi="Arial" w:cs="Arial"/>
          <w:bCs/>
          <w:sz w:val="24"/>
          <w:szCs w:val="24"/>
          <w:lang w:val="es"/>
        </w:rPr>
        <w:t>spobla</w:t>
      </w:r>
      <w:r w:rsidR="00857921">
        <w:rPr>
          <w:rFonts w:ascii="Arial" w:hAnsi="Arial" w:cs="Arial"/>
          <w:bCs/>
          <w:sz w:val="24"/>
          <w:szCs w:val="24"/>
          <w:lang w:val="es"/>
        </w:rPr>
        <w:t>miento y `</w:t>
      </w:r>
      <w:proofErr w:type="spellStart"/>
      <w:r w:rsidR="00857921">
        <w:rPr>
          <w:rFonts w:ascii="Arial" w:hAnsi="Arial" w:cs="Arial"/>
          <w:bCs/>
          <w:sz w:val="24"/>
          <w:szCs w:val="24"/>
          <w:lang w:val="es"/>
        </w:rPr>
        <w:t>desagrarización</w:t>
      </w:r>
      <w:proofErr w:type="spellEnd"/>
      <w:r w:rsidR="00857921">
        <w:rPr>
          <w:rFonts w:ascii="Arial" w:hAnsi="Arial" w:cs="Arial"/>
          <w:bCs/>
          <w:sz w:val="24"/>
          <w:szCs w:val="24"/>
          <w:lang w:val="es"/>
        </w:rPr>
        <w:t>´</w:t>
      </w:r>
      <w:r>
        <w:rPr>
          <w:rFonts w:ascii="Arial" w:hAnsi="Arial" w:cs="Arial"/>
          <w:bCs/>
          <w:sz w:val="24"/>
          <w:szCs w:val="24"/>
          <w:lang w:val="es"/>
        </w:rPr>
        <w:t>.</w:t>
      </w:r>
      <w:bookmarkStart w:id="0" w:name="_GoBack"/>
      <w:bookmarkEnd w:id="0"/>
    </w:p>
    <w:p w:rsidR="00BC3E57" w:rsidRPr="00B31337" w:rsidRDefault="00BC3E57" w:rsidP="00B63E67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Por</w:t>
      </w:r>
      <w:r w:rsidR="005D293B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todo lo anteriormente expuesto, </w:t>
      </w:r>
      <w:r w:rsidR="00540CFD">
        <w:rPr>
          <w:rFonts w:ascii="Arial" w:eastAsia="Arial Unicode MS" w:hAnsi="Arial" w:cs="Arial"/>
          <w:kern w:val="1"/>
          <w:sz w:val="24"/>
          <w:szCs w:val="24"/>
          <w:lang w:eastAsia="zh-CN"/>
        </w:rPr>
        <w:t>el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r w:rsidR="00540CFD">
        <w:rPr>
          <w:rFonts w:ascii="Arial" w:eastAsia="Arial Unicode MS" w:hAnsi="Arial" w:cs="Arial"/>
          <w:kern w:val="1"/>
          <w:sz w:val="24"/>
          <w:szCs w:val="24"/>
          <w:lang w:eastAsia="zh-CN"/>
        </w:rPr>
        <w:t>concejal que suscribe eleva al P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leno la siguiente</w:t>
      </w:r>
    </w:p>
    <w:p w:rsidR="00885213" w:rsidRPr="009275B7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8129B" w:rsidRDefault="00B63E67" w:rsidP="00DA2CC2">
      <w:pPr>
        <w:jc w:val="center"/>
        <w:rPr>
          <w:rFonts w:ascii="Arial" w:hAnsi="Arial" w:cs="Arial"/>
          <w:b/>
          <w:sz w:val="24"/>
          <w:szCs w:val="24"/>
        </w:rPr>
      </w:pPr>
      <w:r w:rsidRPr="009275B7">
        <w:rPr>
          <w:rFonts w:ascii="Arial" w:hAnsi="Arial" w:cs="Arial"/>
          <w:b/>
          <w:sz w:val="24"/>
          <w:szCs w:val="24"/>
        </w:rPr>
        <w:t>MOCIÓN</w:t>
      </w:r>
    </w:p>
    <w:p w:rsidR="005D293B" w:rsidRPr="002815E2" w:rsidRDefault="00540CFD" w:rsidP="002815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Pr="00540CFD">
        <w:rPr>
          <w:rFonts w:ascii="Arial" w:hAnsi="Arial" w:cs="Arial"/>
          <w:bCs/>
          <w:sz w:val="24"/>
          <w:szCs w:val="24"/>
          <w:lang w:val="es"/>
        </w:rPr>
        <w:t xml:space="preserve">simo Ayuntamiento de Cartagena inste al Gobierno local, </w:t>
      </w:r>
      <w:r w:rsidR="00D41B1F">
        <w:rPr>
          <w:rFonts w:ascii="Arial" w:hAnsi="Arial" w:cs="Arial"/>
          <w:bCs/>
          <w:sz w:val="24"/>
          <w:szCs w:val="24"/>
          <w:lang w:val="es"/>
        </w:rPr>
        <w:t xml:space="preserve">junto </w:t>
      </w:r>
      <w:r w:rsidR="00857921">
        <w:rPr>
          <w:rFonts w:ascii="Arial" w:hAnsi="Arial" w:cs="Arial"/>
          <w:bCs/>
          <w:sz w:val="24"/>
          <w:szCs w:val="24"/>
          <w:lang w:val="es"/>
        </w:rPr>
        <w:t>a entidades vecinales y profesionales del sector turístico rural, la búsqueda de acciones y medios para promoción</w:t>
      </w:r>
      <w:r w:rsidR="007D654A">
        <w:rPr>
          <w:rFonts w:ascii="Arial" w:hAnsi="Arial" w:cs="Arial"/>
          <w:bCs/>
          <w:sz w:val="24"/>
          <w:szCs w:val="24"/>
          <w:lang w:val="es"/>
        </w:rPr>
        <w:t>, difusión</w:t>
      </w:r>
      <w:r w:rsidR="00857921">
        <w:rPr>
          <w:rFonts w:ascii="Arial" w:hAnsi="Arial" w:cs="Arial"/>
          <w:bCs/>
          <w:sz w:val="24"/>
          <w:szCs w:val="24"/>
          <w:lang w:val="es"/>
        </w:rPr>
        <w:t xml:space="preserve"> y consolidación del turismo rural de Cartagena dentro de los circuitos nacionales e internacionales de promoción turística que competan.</w:t>
      </w:r>
    </w:p>
    <w:p w:rsidR="00D91AF6" w:rsidRPr="002815E2" w:rsidRDefault="002B77C2" w:rsidP="00DA2C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5D29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DA6B13">
        <w:rPr>
          <w:rFonts w:ascii="Arial" w:hAnsi="Arial" w:cs="Arial"/>
          <w:sz w:val="24"/>
          <w:szCs w:val="24"/>
        </w:rPr>
        <w:t xml:space="preserve"> </w:t>
      </w:r>
      <w:r w:rsidR="00857921">
        <w:rPr>
          <w:rFonts w:ascii="Arial" w:hAnsi="Arial" w:cs="Arial"/>
          <w:sz w:val="24"/>
          <w:szCs w:val="24"/>
        </w:rPr>
        <w:t>2</w:t>
      </w:r>
      <w:r w:rsidR="005D293B">
        <w:rPr>
          <w:rFonts w:ascii="Arial" w:hAnsi="Arial" w:cs="Arial"/>
          <w:sz w:val="24"/>
          <w:szCs w:val="24"/>
        </w:rPr>
        <w:t xml:space="preserve"> </w:t>
      </w:r>
      <w:r w:rsidR="00DA6B13">
        <w:rPr>
          <w:rFonts w:ascii="Arial" w:hAnsi="Arial" w:cs="Arial"/>
          <w:sz w:val="24"/>
          <w:szCs w:val="24"/>
        </w:rPr>
        <w:t>de</w:t>
      </w:r>
      <w:r w:rsidR="005D293B">
        <w:rPr>
          <w:rFonts w:ascii="Arial" w:hAnsi="Arial" w:cs="Arial"/>
          <w:sz w:val="24"/>
          <w:szCs w:val="24"/>
        </w:rPr>
        <w:t xml:space="preserve"> </w:t>
      </w:r>
      <w:r w:rsidR="00857921">
        <w:rPr>
          <w:rFonts w:ascii="Arial" w:hAnsi="Arial" w:cs="Arial"/>
          <w:sz w:val="24"/>
          <w:szCs w:val="24"/>
        </w:rPr>
        <w:t>enero</w:t>
      </w:r>
      <w:r w:rsidR="00540CFD">
        <w:rPr>
          <w:rFonts w:ascii="Arial" w:hAnsi="Arial" w:cs="Arial"/>
          <w:sz w:val="24"/>
          <w:szCs w:val="24"/>
        </w:rPr>
        <w:t xml:space="preserve"> </w:t>
      </w:r>
      <w:r w:rsidR="00857921">
        <w:rPr>
          <w:rFonts w:ascii="Arial" w:hAnsi="Arial" w:cs="Arial"/>
          <w:sz w:val="24"/>
          <w:szCs w:val="24"/>
        </w:rPr>
        <w:t>de 2024</w:t>
      </w:r>
      <w:r w:rsidR="00D91AF6">
        <w:rPr>
          <w:rFonts w:ascii="Arial" w:hAnsi="Arial" w:cs="Arial"/>
          <w:sz w:val="24"/>
          <w:szCs w:val="24"/>
        </w:rPr>
        <w:t>.</w:t>
      </w:r>
    </w:p>
    <w:p w:rsidR="00D91AF6" w:rsidRDefault="00D91AF6" w:rsidP="00B46D01">
      <w:pPr>
        <w:ind w:right="-568"/>
        <w:rPr>
          <w:rFonts w:ascii="Arial" w:hAnsi="Arial" w:cs="Arial"/>
        </w:rPr>
      </w:pPr>
    </w:p>
    <w:p w:rsidR="00DA2CC2" w:rsidRDefault="00DA2CC2" w:rsidP="00B46D01">
      <w:pPr>
        <w:ind w:right="-568"/>
        <w:rPr>
          <w:rFonts w:ascii="Arial" w:hAnsi="Arial" w:cs="Arial"/>
        </w:rPr>
      </w:pPr>
    </w:p>
    <w:p w:rsidR="00DA2CC2" w:rsidRDefault="00DA2CC2" w:rsidP="00B46D01">
      <w:pPr>
        <w:ind w:right="-568"/>
        <w:rPr>
          <w:rFonts w:ascii="Arial" w:hAnsi="Arial" w:cs="Arial"/>
        </w:rPr>
      </w:pPr>
    </w:p>
    <w:p w:rsidR="00D91AF6" w:rsidRDefault="00D91AF6" w:rsidP="00B46D01">
      <w:pPr>
        <w:ind w:right="-568"/>
        <w:rPr>
          <w:rFonts w:ascii="Arial" w:hAnsi="Arial" w:cs="Arial"/>
        </w:rPr>
      </w:pPr>
    </w:p>
    <w:p w:rsidR="00B46D01" w:rsidRDefault="00B46D01" w:rsidP="00D91AF6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DA6B13">
        <w:rPr>
          <w:rFonts w:ascii="Arial" w:hAnsi="Arial" w:cs="Arial"/>
        </w:rPr>
        <w:t xml:space="preserve">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293B">
        <w:rPr>
          <w:rFonts w:ascii="Arial" w:hAnsi="Arial" w:cs="Arial"/>
        </w:rPr>
        <w:t xml:space="preserve">    </w:t>
      </w:r>
      <w:r w:rsidR="00DA2CC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Fdo. </w:t>
      </w:r>
      <w:r w:rsidR="00540CFD">
        <w:rPr>
          <w:rFonts w:ascii="Arial" w:hAnsi="Arial" w:cs="Arial"/>
        </w:rPr>
        <w:t>Enrique Pérez Abellán</w:t>
      </w:r>
    </w:p>
    <w:p w:rsidR="00B46D01" w:rsidRPr="003400AD" w:rsidRDefault="00DA2CC2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   </w:t>
      </w:r>
      <w:r w:rsidR="00540CF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3637C1" w:rsidRPr="00DA2CC2" w:rsidRDefault="00B46D01" w:rsidP="00DA2CC2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sectPr w:rsidR="003637C1" w:rsidRPr="00DA2CC2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14E23"/>
    <w:rsid w:val="001345B2"/>
    <w:rsid w:val="00196A18"/>
    <w:rsid w:val="001A7070"/>
    <w:rsid w:val="001B10B2"/>
    <w:rsid w:val="001E6DB9"/>
    <w:rsid w:val="001F2ECA"/>
    <w:rsid w:val="002108A7"/>
    <w:rsid w:val="00213A71"/>
    <w:rsid w:val="00260FC1"/>
    <w:rsid w:val="002815E2"/>
    <w:rsid w:val="002B77C2"/>
    <w:rsid w:val="002D37C8"/>
    <w:rsid w:val="002F3E0E"/>
    <w:rsid w:val="003203C4"/>
    <w:rsid w:val="003637C1"/>
    <w:rsid w:val="003716B2"/>
    <w:rsid w:val="00377950"/>
    <w:rsid w:val="00386471"/>
    <w:rsid w:val="003C12F4"/>
    <w:rsid w:val="003C65BD"/>
    <w:rsid w:val="003D093A"/>
    <w:rsid w:val="004279AE"/>
    <w:rsid w:val="00447BC4"/>
    <w:rsid w:val="00455DBC"/>
    <w:rsid w:val="004825BD"/>
    <w:rsid w:val="00491655"/>
    <w:rsid w:val="004B6375"/>
    <w:rsid w:val="004C451E"/>
    <w:rsid w:val="00540CFD"/>
    <w:rsid w:val="00547A21"/>
    <w:rsid w:val="00576529"/>
    <w:rsid w:val="0058129B"/>
    <w:rsid w:val="0059673D"/>
    <w:rsid w:val="005C34F2"/>
    <w:rsid w:val="005D293B"/>
    <w:rsid w:val="00612C1A"/>
    <w:rsid w:val="00615F9D"/>
    <w:rsid w:val="0064464A"/>
    <w:rsid w:val="00647AB1"/>
    <w:rsid w:val="006666A2"/>
    <w:rsid w:val="00681B70"/>
    <w:rsid w:val="006851B9"/>
    <w:rsid w:val="00690DE7"/>
    <w:rsid w:val="006E5F37"/>
    <w:rsid w:val="00716B6A"/>
    <w:rsid w:val="00726AE8"/>
    <w:rsid w:val="007863FE"/>
    <w:rsid w:val="00791C5A"/>
    <w:rsid w:val="00792DF4"/>
    <w:rsid w:val="0079415A"/>
    <w:rsid w:val="00794A0E"/>
    <w:rsid w:val="007D654A"/>
    <w:rsid w:val="007D6D30"/>
    <w:rsid w:val="007F5EA0"/>
    <w:rsid w:val="00806912"/>
    <w:rsid w:val="00812ED3"/>
    <w:rsid w:val="00857921"/>
    <w:rsid w:val="00874031"/>
    <w:rsid w:val="00885213"/>
    <w:rsid w:val="008C22B1"/>
    <w:rsid w:val="008D160E"/>
    <w:rsid w:val="00921AE4"/>
    <w:rsid w:val="009253EA"/>
    <w:rsid w:val="009275B7"/>
    <w:rsid w:val="00971155"/>
    <w:rsid w:val="00971FC2"/>
    <w:rsid w:val="009955D5"/>
    <w:rsid w:val="009B6FFF"/>
    <w:rsid w:val="00A02032"/>
    <w:rsid w:val="00A049FA"/>
    <w:rsid w:val="00A057A7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37E4"/>
    <w:rsid w:val="00C26048"/>
    <w:rsid w:val="00C47C43"/>
    <w:rsid w:val="00C51A89"/>
    <w:rsid w:val="00C977F5"/>
    <w:rsid w:val="00CA75DF"/>
    <w:rsid w:val="00CE53A3"/>
    <w:rsid w:val="00D26357"/>
    <w:rsid w:val="00D30FD3"/>
    <w:rsid w:val="00D41B1F"/>
    <w:rsid w:val="00D91AF6"/>
    <w:rsid w:val="00DA2CC2"/>
    <w:rsid w:val="00DA6B13"/>
    <w:rsid w:val="00DB1B3A"/>
    <w:rsid w:val="00E04252"/>
    <w:rsid w:val="00E04FC2"/>
    <w:rsid w:val="00E107CE"/>
    <w:rsid w:val="00E347E5"/>
    <w:rsid w:val="00E5293D"/>
    <w:rsid w:val="00E556C3"/>
    <w:rsid w:val="00E73801"/>
    <w:rsid w:val="00EB44EA"/>
    <w:rsid w:val="00EE390C"/>
    <w:rsid w:val="00F37341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22</cp:revision>
  <dcterms:created xsi:type="dcterms:W3CDTF">2023-06-18T09:41:00Z</dcterms:created>
  <dcterms:modified xsi:type="dcterms:W3CDTF">2024-01-02T12:35:00Z</dcterms:modified>
</cp:coreProperties>
</file>