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sz w:val="27"/>
        </w:rPr>
      </w:pPr>
    </w:p>
    <w:p>
      <w:pPr>
        <w:pStyle w:val="Heading1"/>
        <w:spacing w:before="91"/>
        <w:ind w:left="178"/>
      </w:pPr>
      <w:r>
        <w:rPr/>
        <w:t>ESTADO DE LA DEUDA. PRESUPUESTO 2024</w:t>
      </w:r>
    </w:p>
    <w:p>
      <w:pPr>
        <w:spacing w:line="247" w:lineRule="auto" w:before="12"/>
        <w:ind w:left="178" w:right="10153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EURIBOR estimado: 4,000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Carencia: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carencia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préstamo</w:t>
      </w:r>
    </w:p>
    <w:p>
      <w:pPr>
        <w:pStyle w:val="BodyText"/>
        <w:spacing w:before="11"/>
        <w:rPr>
          <w:rFonts w:ascii="Arial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>
        <w:trPr>
          <w:trHeight w:val="415" w:hRule="atLeast"/>
        </w:trPr>
        <w:tc>
          <w:tcPr>
            <w:tcW w:w="430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240" w:lineRule="auto" w:before="94"/>
              <w:ind w:left="12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3780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240" w:lineRule="auto" w:before="94"/>
              <w:ind w:left="1559" w:right="15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Entidad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198" w:lineRule="exact"/>
              <w:ind w:left="31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  <w:p>
            <w:pPr>
              <w:pStyle w:val="TableParagraph"/>
              <w:spacing w:line="197" w:lineRule="exact"/>
              <w:ind w:left="2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Préstamo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240" w:lineRule="auto" w:before="94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F. Inicio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198" w:lineRule="exact"/>
              <w:ind w:left="30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F. Fin</w:t>
            </w:r>
          </w:p>
          <w:p>
            <w:pPr>
              <w:pStyle w:val="TableParagraph"/>
              <w:spacing w:line="197" w:lineRule="exact"/>
              <w:ind w:left="19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Carencia</w:t>
            </w:r>
          </w:p>
        </w:tc>
        <w:tc>
          <w:tcPr>
            <w:tcW w:w="1139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198" w:lineRule="exact"/>
              <w:ind w:left="33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F. Fin</w:t>
            </w:r>
          </w:p>
          <w:p>
            <w:pPr>
              <w:pStyle w:val="TableParagraph"/>
              <w:spacing w:line="197" w:lineRule="exact"/>
              <w:ind w:left="20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Préstamo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198" w:lineRule="exact"/>
              <w:ind w:left="18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Pendiente</w:t>
            </w:r>
          </w:p>
          <w:p>
            <w:pPr>
              <w:pStyle w:val="TableParagraph"/>
              <w:spacing w:line="197" w:lineRule="exact"/>
              <w:ind w:left="15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31/12/2023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240" w:lineRule="auto" w:before="94"/>
              <w:ind w:left="21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Intereses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240" w:lineRule="auto" w:before="94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Amortización</w:t>
            </w:r>
          </w:p>
        </w:tc>
        <w:tc>
          <w:tcPr>
            <w:tcW w:w="773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198" w:lineRule="exact"/>
              <w:ind w:left="20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  <w:p>
            <w:pPr>
              <w:pStyle w:val="TableParagraph"/>
              <w:spacing w:line="197" w:lineRule="exact"/>
              <w:ind w:left="116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Interés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E6F2FC"/>
          </w:tcPr>
          <w:p>
            <w:pPr>
              <w:pStyle w:val="TableParagraph"/>
              <w:spacing w:line="198" w:lineRule="exact"/>
              <w:ind w:left="19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Pendiente</w:t>
            </w:r>
          </w:p>
          <w:p>
            <w:pPr>
              <w:pStyle w:val="TableParagraph"/>
              <w:spacing w:line="197" w:lineRule="exact"/>
              <w:ind w:left="16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31/12/2024</w:t>
            </w:r>
          </w:p>
        </w:tc>
      </w:tr>
      <w:tr>
        <w:trPr>
          <w:trHeight w:val="200" w:hRule="atLeast"/>
        </w:trPr>
        <w:tc>
          <w:tcPr>
            <w:tcW w:w="43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8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BBVA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15.884.269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29/07/2009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29/07/2011</w:t>
            </w:r>
          </w:p>
        </w:tc>
        <w:tc>
          <w:tcPr>
            <w:tcW w:w="113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29/07/2024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916.400</w:t>
            </w:r>
          </w:p>
        </w:tc>
        <w:tc>
          <w:tcPr>
            <w:tcW w:w="111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23.118</w:t>
            </w:r>
          </w:p>
        </w:tc>
        <w:tc>
          <w:tcPr>
            <w:tcW w:w="11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916.400</w:t>
            </w:r>
          </w:p>
        </w:tc>
        <w:tc>
          <w:tcPr>
            <w:tcW w:w="77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5,04</w:t>
            </w:r>
          </w:p>
        </w:tc>
        <w:tc>
          <w:tcPr>
            <w:tcW w:w="115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CAIXA BANK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22/08/2009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22/12/2010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22/12/2023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192.050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5.451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192.050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5,65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CAIXA BANK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5.569.130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23/10/2009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23/10/2012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23/10/2027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1.565.860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70.841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363.067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4,95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1.202.793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Banco Santander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15.279.148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01/02/2010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01/02/2013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01/02/2030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6.061.490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272.862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853.758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4,75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5.207.732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Banco Santander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1.452.867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31/03/2010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31/03/2012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31/03/2025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111.760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3.913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89.408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22.352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BBVA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7.595.822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22/10/2010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22/10/2012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22/10/2025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380.671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16.472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190.336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5,32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190.335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CAIXA BANK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5.701.735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22/10/2010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22/10/2012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22/01/2026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1.082.222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54.182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463.286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5,95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618.936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BBVA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23.625.573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22/10/2010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22/04/2012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22/04/2024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984.397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20.396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984.397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5,52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70" w:right="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SABADELL (DANA)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7.377.217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15/12/2019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15/12/2019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15/12/2029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4.438.992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187.272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739.832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4,50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3.699.160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25" w:right="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CAIXABANK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9.500.000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07/04/2022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07/04/2023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07/04/2032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9.021.998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373.225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899.375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4,30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8.122.623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25" w:right="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PRÉSTAMO INVERSIONES 2023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8.415.000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01/06/2023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01/06/2024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01/06/2033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8.415.000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369.361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467.500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4,42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7.947.500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25" w:right="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Préstamo legislatura 2023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11.465.619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20/12/2023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20/12/2023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20/06/2027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11.465.619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450.437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3.275.892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4,40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8.189.727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25" w:right="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Préstamo sellado vertedero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7.300.000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20/03/2024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20/03/2025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20/03/2031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7.300.000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240.903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4,40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7.300.000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25" w:right="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PRESTAMO INVERSIONES 2024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9.435.301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01/09/2024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01/09/2025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01/09/2034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9.435.301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103.789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4,40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9.435.301</w:t>
            </w:r>
          </w:p>
        </w:tc>
      </w:tr>
      <w:tr>
        <w:trPr>
          <w:trHeight w:val="207" w:hRule="atLeast"/>
        </w:trPr>
        <w:tc>
          <w:tcPr>
            <w:tcW w:w="4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37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>TOTAL PRÉSTAMOS AYUNTAMIENTO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131.601.681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61.371.760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2.192.222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9.435.301</w:t>
            </w:r>
          </w:p>
        </w:tc>
        <w:tc>
          <w:tcPr>
            <w:tcW w:w="7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left="2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3,57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51.936.459</w:t>
            </w:r>
          </w:p>
        </w:tc>
      </w:tr>
      <w:tr>
        <w:trPr>
          <w:trHeight w:val="207" w:hRule="atLeast"/>
        </w:trPr>
        <w:tc>
          <w:tcPr>
            <w:tcW w:w="4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37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>TOTAL PRÉSTAMOS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131.601.681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61.371.760</w:t>
            </w:r>
          </w:p>
        </w:tc>
        <w:tc>
          <w:tcPr>
            <w:tcW w:w="11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2.192.222</w:t>
            </w:r>
          </w:p>
        </w:tc>
        <w:tc>
          <w:tcPr>
            <w:tcW w:w="11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9.435.301</w:t>
            </w:r>
          </w:p>
        </w:tc>
        <w:tc>
          <w:tcPr>
            <w:tcW w:w="7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8" w:lineRule="exact"/>
              <w:ind w:left="2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3,57</w:t>
            </w:r>
          </w:p>
        </w:tc>
        <w:tc>
          <w:tcPr>
            <w:tcW w:w="11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51.936.459</w:t>
            </w:r>
          </w:p>
        </w:tc>
      </w:tr>
    </w:tbl>
    <w:p>
      <w:pPr>
        <w:pStyle w:val="BodyText"/>
        <w:spacing w:before="3"/>
        <w:rPr>
          <w:rFonts w:ascii="Arial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FONDO LIQUIDACIÓN 2008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2.285.753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01/01/2015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01/01/2015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01/01/2032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1.075.649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134.456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941.193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FONDO LIQUIDACIÓN 2009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9.344.723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01/01/2015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01/01/2015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01/01/2032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4.397.514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549.690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3.847.824</w:t>
            </w:r>
          </w:p>
        </w:tc>
      </w:tr>
      <w:tr>
        <w:trPr>
          <w:trHeight w:val="207" w:hRule="atLeast"/>
        </w:trPr>
        <w:tc>
          <w:tcPr>
            <w:tcW w:w="43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>TOTAL DEUDAS ESTADO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11.630.476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5.473.163</w:t>
            </w:r>
          </w:p>
        </w:tc>
        <w:tc>
          <w:tcPr>
            <w:tcW w:w="1115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199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684.146</w:t>
            </w:r>
          </w:p>
        </w:tc>
        <w:tc>
          <w:tcPr>
            <w:tcW w:w="773" w:type="dxa"/>
          </w:tcPr>
          <w:p>
            <w:pPr>
              <w:pStyle w:val="TableParagraph"/>
              <w:spacing w:line="188" w:lineRule="exact"/>
              <w:ind w:left="2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4.789.017</w:t>
            </w:r>
          </w:p>
        </w:tc>
      </w:tr>
    </w:tbl>
    <w:p>
      <w:pPr>
        <w:pStyle w:val="BodyText"/>
        <w:spacing w:before="3"/>
        <w:rPr>
          <w:rFonts w:ascii="Arial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Convenio tesor. Lhicarsa 2008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13.794.664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31/01/2008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31/01/2008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31/03/2030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3.181.611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146.850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509.052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4,90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2.672.559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Conv. tes. Lhicarsa 2010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5.788.721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31/01/2010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31/01/2010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31/03/2030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1.598.740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90.359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255.804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1.342.936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Convenio tesor. Lhicarsa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17.137.247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31/12/2014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31/12/2014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31/03/2030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7.023.470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330.784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1.123.752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5.899.718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Promociones del Mediterráneo, SA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6.830.519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11/04/2016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11/04/2016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11/04/2030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2.844.281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85.329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2.344.281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Técnica de Inversiones Gamma, SL (principal)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5.224.706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01/01/2019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01/01/2025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870.786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26.124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870.784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Técnica de Inversiones Gamma, SL (intereses)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157.162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01/01/2019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01/01/2025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26.192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786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26.192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Ej. sentencia proc. ord. nº 394/2014 (Capital)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3.768.422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19/12/2019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19/12/2019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19/12/2027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1.854.471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55.635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308.717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1.545.754</w:t>
            </w:r>
          </w:p>
        </w:tc>
      </w:tr>
      <w:tr>
        <w:trPr>
          <w:trHeight w:val="200" w:hRule="atLeast"/>
        </w:trPr>
        <w:tc>
          <w:tcPr>
            <w:tcW w:w="430" w:type="dxa"/>
          </w:tcPr>
          <w:p>
            <w:pPr>
              <w:pStyle w:val="TableParagraph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780" w:type="dxa"/>
          </w:tcPr>
          <w:p>
            <w:pPr>
              <w:pStyle w:val="TableParagraph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Ej. sentencia proc. ord. nº 394/2014 (Intereses)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594.833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19/12/2019</w:t>
            </w:r>
          </w:p>
        </w:tc>
        <w:tc>
          <w:tcPr>
            <w:tcW w:w="1080" w:type="dxa"/>
          </w:tcPr>
          <w:p>
            <w:pPr>
              <w:pStyle w:val="TableParagraph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19/12/2019</w:t>
            </w:r>
          </w:p>
        </w:tc>
        <w:tc>
          <w:tcPr>
            <w:tcW w:w="1139" w:type="dxa"/>
          </w:tcPr>
          <w:p>
            <w:pPr>
              <w:pStyle w:val="TableParagraph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19/12/2027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287.528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8.626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65.626</w:t>
            </w:r>
          </w:p>
        </w:tc>
        <w:tc>
          <w:tcPr>
            <w:tcW w:w="773" w:type="dxa"/>
          </w:tcPr>
          <w:p>
            <w:pPr>
              <w:pStyle w:val="TableParagraph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221.902</w:t>
            </w:r>
          </w:p>
        </w:tc>
      </w:tr>
      <w:tr>
        <w:trPr>
          <w:trHeight w:val="401" w:hRule="atLeast"/>
        </w:trPr>
        <w:tc>
          <w:tcPr>
            <w:tcW w:w="430" w:type="dxa"/>
          </w:tcPr>
          <w:p>
            <w:pPr>
              <w:pStyle w:val="TableParagraph"/>
              <w:spacing w:line="191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780" w:type="dxa"/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FINCAS REGRISTRALES Nª 11.950 Y 31.274,</w:t>
            </w:r>
          </w:p>
          <w:p>
            <w:pPr>
              <w:pStyle w:val="TableParagraph"/>
              <w:spacing w:line="194" w:lineRule="exact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JARDIN DE LOS ISAURAS, Bº PERAL</w:t>
            </w:r>
          </w:p>
        </w:tc>
        <w:tc>
          <w:tcPr>
            <w:tcW w:w="1260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275.122</w:t>
            </w:r>
          </w:p>
        </w:tc>
        <w:tc>
          <w:tcPr>
            <w:tcW w:w="1080" w:type="dxa"/>
          </w:tcPr>
          <w:p>
            <w:pPr>
              <w:pStyle w:val="TableParagraph"/>
              <w:spacing w:line="191" w:lineRule="exact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29/12/2020</w:t>
            </w:r>
          </w:p>
        </w:tc>
        <w:tc>
          <w:tcPr>
            <w:tcW w:w="1080" w:type="dxa"/>
          </w:tcPr>
          <w:p>
            <w:pPr>
              <w:pStyle w:val="TableParagraph"/>
              <w:spacing w:line="191" w:lineRule="exact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29/12/2020</w:t>
            </w:r>
          </w:p>
        </w:tc>
        <w:tc>
          <w:tcPr>
            <w:tcW w:w="1139" w:type="dxa"/>
          </w:tcPr>
          <w:p>
            <w:pPr>
              <w:pStyle w:val="TableParagraph"/>
              <w:spacing w:line="191" w:lineRule="exact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29/12/2024</w:t>
            </w:r>
          </w:p>
        </w:tc>
        <w:tc>
          <w:tcPr>
            <w:tcW w:w="1131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68.781</w:t>
            </w:r>
          </w:p>
        </w:tc>
        <w:tc>
          <w:tcPr>
            <w:tcW w:w="1115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2.064</w:t>
            </w:r>
          </w:p>
        </w:tc>
        <w:tc>
          <w:tcPr>
            <w:tcW w:w="1199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68.781</w:t>
            </w:r>
          </w:p>
        </w:tc>
        <w:tc>
          <w:tcPr>
            <w:tcW w:w="773" w:type="dxa"/>
          </w:tcPr>
          <w:p>
            <w:pPr>
              <w:pStyle w:val="TableParagraph"/>
              <w:spacing w:line="191" w:lineRule="exact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55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>
      <w:pPr>
        <w:spacing w:after="0" w:line="191" w:lineRule="exact"/>
        <w:rPr>
          <w:sz w:val="18"/>
        </w:rPr>
        <w:sectPr>
          <w:headerReference w:type="default" r:id="rId5"/>
          <w:type w:val="continuous"/>
          <w:pgSz w:w="16840" w:h="11910" w:orient="landscape"/>
          <w:pgMar w:header="764" w:top="2160" w:bottom="280" w:left="1240" w:right="1220"/>
          <w:pgNumType w:start="1"/>
        </w:sectPr>
      </w:pPr>
    </w:p>
    <w:p>
      <w:pPr>
        <w:pStyle w:val="BodyText"/>
        <w:spacing w:before="0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1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>
        <w:trPr>
          <w:trHeight w:val="401" w:hRule="atLeast"/>
        </w:trPr>
        <w:tc>
          <w:tcPr>
            <w:tcW w:w="430" w:type="dxa"/>
          </w:tcPr>
          <w:p>
            <w:pPr>
              <w:pStyle w:val="TableParagraph"/>
              <w:spacing w:line="191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780" w:type="dxa"/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J.G.L. 1/07/2022: Acuerdo extrajudicial P.O.</w:t>
            </w:r>
          </w:p>
          <w:p>
            <w:pPr>
              <w:pStyle w:val="TableParagraph"/>
              <w:spacing w:line="194" w:lineRule="exact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853/2021</w:t>
            </w:r>
          </w:p>
        </w:tc>
        <w:tc>
          <w:tcPr>
            <w:tcW w:w="1260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872.773</w:t>
            </w:r>
          </w:p>
        </w:tc>
        <w:tc>
          <w:tcPr>
            <w:tcW w:w="1080" w:type="dxa"/>
          </w:tcPr>
          <w:p>
            <w:pPr>
              <w:pStyle w:val="TableParagraph"/>
              <w:spacing w:line="191" w:lineRule="exact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01/04/2022</w:t>
            </w:r>
          </w:p>
        </w:tc>
        <w:tc>
          <w:tcPr>
            <w:tcW w:w="1080" w:type="dxa"/>
          </w:tcPr>
          <w:p>
            <w:pPr>
              <w:pStyle w:val="TableParagraph"/>
              <w:spacing w:line="191" w:lineRule="exact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01/04/2022</w:t>
            </w:r>
          </w:p>
        </w:tc>
        <w:tc>
          <w:tcPr>
            <w:tcW w:w="1139" w:type="dxa"/>
          </w:tcPr>
          <w:p>
            <w:pPr>
              <w:pStyle w:val="TableParagraph"/>
              <w:spacing w:line="191" w:lineRule="exact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01/04/2026</w:t>
            </w:r>
          </w:p>
        </w:tc>
        <w:tc>
          <w:tcPr>
            <w:tcW w:w="1131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654.560</w:t>
            </w:r>
          </w:p>
        </w:tc>
        <w:tc>
          <w:tcPr>
            <w:tcW w:w="1115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21.274</w:t>
            </w:r>
          </w:p>
        </w:tc>
        <w:tc>
          <w:tcPr>
            <w:tcW w:w="1199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218.193</w:t>
            </w:r>
          </w:p>
        </w:tc>
        <w:tc>
          <w:tcPr>
            <w:tcW w:w="773" w:type="dxa"/>
          </w:tcPr>
          <w:p>
            <w:pPr>
              <w:pStyle w:val="TableParagraph"/>
              <w:spacing w:line="191" w:lineRule="exact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3,25</w:t>
            </w:r>
          </w:p>
        </w:tc>
        <w:tc>
          <w:tcPr>
            <w:tcW w:w="1155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436.367</w:t>
            </w:r>
          </w:p>
        </w:tc>
      </w:tr>
      <w:tr>
        <w:trPr>
          <w:trHeight w:val="401" w:hRule="atLeast"/>
        </w:trPr>
        <w:tc>
          <w:tcPr>
            <w:tcW w:w="430" w:type="dxa"/>
          </w:tcPr>
          <w:p>
            <w:pPr>
              <w:pStyle w:val="TableParagraph"/>
              <w:spacing w:line="191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780" w:type="dxa"/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Atrasos intereses Promociones Mediterráneo</w:t>
            </w:r>
          </w:p>
          <w:p>
            <w:pPr>
              <w:pStyle w:val="TableParagraph"/>
              <w:spacing w:line="194" w:lineRule="exact"/>
              <w:ind w:left="70" w:right="0"/>
              <w:jc w:val="left"/>
              <w:rPr>
                <w:sz w:val="18"/>
              </w:rPr>
            </w:pPr>
            <w:r>
              <w:rPr>
                <w:sz w:val="18"/>
              </w:rPr>
              <w:t>(Autos 676/2021)</w:t>
            </w:r>
          </w:p>
        </w:tc>
        <w:tc>
          <w:tcPr>
            <w:tcW w:w="1260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610.101</w:t>
            </w:r>
          </w:p>
        </w:tc>
        <w:tc>
          <w:tcPr>
            <w:tcW w:w="1080" w:type="dxa"/>
          </w:tcPr>
          <w:p>
            <w:pPr>
              <w:pStyle w:val="TableParagraph"/>
              <w:spacing w:line="191" w:lineRule="exact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05/05/2022</w:t>
            </w:r>
          </w:p>
        </w:tc>
        <w:tc>
          <w:tcPr>
            <w:tcW w:w="1080" w:type="dxa"/>
          </w:tcPr>
          <w:p>
            <w:pPr>
              <w:pStyle w:val="TableParagraph"/>
              <w:spacing w:line="191" w:lineRule="exact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05/05/2022</w:t>
            </w:r>
          </w:p>
        </w:tc>
        <w:tc>
          <w:tcPr>
            <w:tcW w:w="1139" w:type="dxa"/>
          </w:tcPr>
          <w:p>
            <w:pPr>
              <w:pStyle w:val="TableParagraph"/>
              <w:spacing w:line="191" w:lineRule="exact"/>
              <w:ind w:left="139" w:right="130"/>
              <w:jc w:val="center"/>
              <w:rPr>
                <w:sz w:val="18"/>
              </w:rPr>
            </w:pPr>
            <w:r>
              <w:rPr>
                <w:sz w:val="18"/>
              </w:rPr>
              <w:t>05/12/2029</w:t>
            </w:r>
          </w:p>
        </w:tc>
        <w:tc>
          <w:tcPr>
            <w:tcW w:w="1131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522.944</w:t>
            </w:r>
          </w:p>
        </w:tc>
        <w:tc>
          <w:tcPr>
            <w:tcW w:w="1115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99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87.157</w:t>
            </w:r>
          </w:p>
        </w:tc>
        <w:tc>
          <w:tcPr>
            <w:tcW w:w="773" w:type="dxa"/>
          </w:tcPr>
          <w:p>
            <w:pPr>
              <w:pStyle w:val="TableParagraph"/>
              <w:spacing w:line="191" w:lineRule="exact"/>
              <w:ind w:left="228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435.787</w:t>
            </w:r>
          </w:p>
        </w:tc>
      </w:tr>
      <w:tr>
        <w:trPr>
          <w:trHeight w:val="207" w:hRule="atLeast"/>
        </w:trPr>
        <w:tc>
          <w:tcPr>
            <w:tcW w:w="43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>TOTAL CONV. FRACC.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55.054.270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18.933.364</w:t>
            </w:r>
          </w:p>
        </w:tc>
        <w:tc>
          <w:tcPr>
            <w:tcW w:w="1115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767.831</w:t>
            </w:r>
          </w:p>
        </w:tc>
        <w:tc>
          <w:tcPr>
            <w:tcW w:w="1199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4.034.058</w:t>
            </w:r>
          </w:p>
        </w:tc>
        <w:tc>
          <w:tcPr>
            <w:tcW w:w="773" w:type="dxa"/>
          </w:tcPr>
          <w:p>
            <w:pPr>
              <w:pStyle w:val="TableParagraph"/>
              <w:spacing w:line="188" w:lineRule="exact"/>
              <w:ind w:left="2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4,06</w:t>
            </w:r>
          </w:p>
        </w:tc>
        <w:tc>
          <w:tcPr>
            <w:tcW w:w="1155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14.899.306</w:t>
            </w:r>
          </w:p>
        </w:tc>
      </w:tr>
    </w:tbl>
    <w:p>
      <w:pPr>
        <w:pStyle w:val="BodyText"/>
        <w:spacing w:before="3"/>
        <w:rPr>
          <w:rFonts w:ascii="Arial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>
        <w:trPr>
          <w:trHeight w:val="207" w:hRule="atLeast"/>
        </w:trPr>
        <w:tc>
          <w:tcPr>
            <w:tcW w:w="43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>TOTAL DEUDA L/P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left="29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198.286.427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188" w:lineRule="exact"/>
              <w:ind w:left="25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85.778.287</w:t>
            </w:r>
          </w:p>
        </w:tc>
        <w:tc>
          <w:tcPr>
            <w:tcW w:w="1115" w:type="dxa"/>
          </w:tcPr>
          <w:p>
            <w:pPr>
              <w:pStyle w:val="TableParagraph"/>
              <w:spacing w:line="188" w:lineRule="exact"/>
              <w:ind w:left="32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2.960.053</w:t>
            </w:r>
          </w:p>
        </w:tc>
        <w:tc>
          <w:tcPr>
            <w:tcW w:w="1199" w:type="dxa"/>
          </w:tcPr>
          <w:p>
            <w:pPr>
              <w:pStyle w:val="TableParagraph"/>
              <w:spacing w:line="188" w:lineRule="exact"/>
              <w:ind w:left="3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14.153.505</w:t>
            </w:r>
          </w:p>
        </w:tc>
        <w:tc>
          <w:tcPr>
            <w:tcW w:w="773" w:type="dxa"/>
          </w:tcPr>
          <w:p>
            <w:pPr>
              <w:pStyle w:val="TableParagraph"/>
              <w:spacing w:line="188" w:lineRule="exact"/>
              <w:ind w:left="2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3,45</w:t>
            </w:r>
          </w:p>
        </w:tc>
        <w:tc>
          <w:tcPr>
            <w:tcW w:w="1155" w:type="dxa"/>
          </w:tcPr>
          <w:p>
            <w:pPr>
              <w:pStyle w:val="TableParagraph"/>
              <w:spacing w:line="188" w:lineRule="exact"/>
              <w:ind w:left="27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71.624.782</w:t>
            </w:r>
          </w:p>
        </w:tc>
      </w:tr>
    </w:tbl>
    <w:p>
      <w:pPr>
        <w:pStyle w:val="BodyText"/>
        <w:spacing w:before="3"/>
        <w:rPr>
          <w:rFonts w:ascii="Arial"/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>
        <w:trPr>
          <w:trHeight w:val="207" w:hRule="atLeast"/>
        </w:trPr>
        <w:tc>
          <w:tcPr>
            <w:tcW w:w="43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line="188" w:lineRule="exact"/>
              <w:ind w:left="70" w:right="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>TOTALES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left="29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198.286.427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188" w:lineRule="exact"/>
              <w:ind w:left="25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85.778.287</w:t>
            </w:r>
          </w:p>
        </w:tc>
        <w:tc>
          <w:tcPr>
            <w:tcW w:w="1115" w:type="dxa"/>
          </w:tcPr>
          <w:p>
            <w:pPr>
              <w:pStyle w:val="TableParagraph"/>
              <w:spacing w:line="188" w:lineRule="exact"/>
              <w:ind w:left="32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2.960.053</w:t>
            </w:r>
          </w:p>
        </w:tc>
        <w:tc>
          <w:tcPr>
            <w:tcW w:w="1199" w:type="dxa"/>
          </w:tcPr>
          <w:p>
            <w:pPr>
              <w:pStyle w:val="TableParagraph"/>
              <w:spacing w:line="188" w:lineRule="exact"/>
              <w:ind w:left="3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14.153.505</w:t>
            </w:r>
          </w:p>
        </w:tc>
        <w:tc>
          <w:tcPr>
            <w:tcW w:w="773" w:type="dxa"/>
          </w:tcPr>
          <w:p>
            <w:pPr>
              <w:pStyle w:val="TableParagraph"/>
              <w:spacing w:line="188" w:lineRule="exact"/>
              <w:ind w:left="22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3,45</w:t>
            </w:r>
          </w:p>
        </w:tc>
        <w:tc>
          <w:tcPr>
            <w:tcW w:w="1155" w:type="dxa"/>
          </w:tcPr>
          <w:p>
            <w:pPr>
              <w:pStyle w:val="TableParagraph"/>
              <w:spacing w:line="188" w:lineRule="exact"/>
              <w:ind w:left="27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71.624.782</w:t>
            </w:r>
          </w:p>
        </w:tc>
      </w:tr>
    </w:tbl>
    <w:p>
      <w:pPr>
        <w:pStyle w:val="BodyText"/>
        <w:spacing w:before="2"/>
        <w:rPr>
          <w:rFonts w:ascii="Arial"/>
        </w:rPr>
      </w:pPr>
    </w:p>
    <w:p>
      <w:pPr>
        <w:pStyle w:val="BodyText"/>
        <w:spacing w:line="434" w:lineRule="auto" w:before="93"/>
        <w:ind w:left="10721" w:right="1818" w:hanging="170"/>
      </w:pPr>
      <w:r>
        <w:rPr/>
        <w:pict>
          <v:shape style="position:absolute;margin-left:715.549988pt;margin-top:40.603344pt;width:57.35pt;height:14.2pt;mso-position-horizontal-relative:page;mso-position-vertical-relative:paragraph;z-index:1572864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ind w:left="262"/>
                  </w:pPr>
                  <w:r>
                    <w:rPr/>
                    <w:t>71.624.782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02.899994pt;margin-top:40.603344pt;width:60.2pt;height:14.2pt;mso-position-horizontal-relative:page;mso-position-vertical-relative:paragraph;z-index:1572915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ind w:left="318"/>
                  </w:pPr>
                  <w:r>
                    <w:rPr/>
                    <w:t>85.778.287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15.549988pt;margin-top:21.902344pt;width:57.35pt;height:14.25pt;mso-position-horizontal-relative:page;mso-position-vertical-relative:paragraph;z-index:1572966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ind w:right="64"/>
                    <w:jc w:val="right"/>
                  </w:pPr>
                  <w:r>
                    <w:rPr/>
                    <w:t>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02.899994pt;margin-top:21.902344pt;width:60.2pt;height:14.25pt;mso-position-horizontal-relative:page;mso-position-vertical-relative:paragraph;z-index:1573017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ind w:right="64"/>
                    <w:jc w:val="right"/>
                  </w:pPr>
                  <w:r>
                    <w:rPr/>
                    <w:t>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15.549988pt;margin-top:3.203344pt;width:57.35pt;height:14.2pt;mso-position-horizontal-relative:page;mso-position-vertical-relative:paragraph;z-index:1573068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ind w:left="262"/>
                  </w:pPr>
                  <w:r>
                    <w:rPr/>
                    <w:t>71.624.782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02.899994pt;margin-top:3.203344pt;width:60.2pt;height:14.2pt;mso-position-horizontal-relative:page;mso-position-vertical-relative:paragraph;z-index:1573120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ind w:left="318"/>
                  </w:pPr>
                  <w:r>
                    <w:rPr/>
                    <w:t>85.778.287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Suma deuda a largo plazo</w:t>
      </w:r>
      <w:r>
        <w:rPr>
          <w:spacing w:val="-42"/>
        </w:rPr>
        <w:t> </w:t>
      </w:r>
      <w:r>
        <w:rPr/>
        <w:t>Deuda a corto plazo</w:t>
      </w:r>
      <w:r>
        <w:rPr>
          <w:spacing w:val="1"/>
        </w:rPr>
        <w:t> </w:t>
      </w:r>
      <w:r>
        <w:rPr/>
        <w:t>Total deuda bancaria</w:t>
      </w:r>
    </w:p>
    <w:sectPr>
      <w:pgSz w:w="16840" w:h="11910" w:orient="landscape"/>
      <w:pgMar w:header="764" w:footer="0" w:top="2160" w:bottom="280" w:left="12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967296">
          <wp:simplePos x="0" y="0"/>
          <wp:positionH relativeFrom="page">
            <wp:posOffset>900430</wp:posOffset>
          </wp:positionH>
          <wp:positionV relativeFrom="page">
            <wp:posOffset>485279</wp:posOffset>
          </wp:positionV>
          <wp:extent cx="1752600" cy="7185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71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6.399994pt;margin-top:46.643158pt;width:283.45pt;height:63.35pt;mso-position-horizontal-relative:page;mso-position-vertical-relative:page;z-index:-163486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sz w:val="28"/>
                  </w:rPr>
                  <w:t>EXMO. AYUNTAMIENTO DE CARTAGENA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Área de Hacienda y Personal</w:t>
                </w:r>
              </w:p>
              <w:p>
                <w:pPr>
                  <w:spacing w:before="113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Fecha: 16/09/2024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10:37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Página: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pacing w:val="-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/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4"/>
    </w:pPr>
    <w:rPr>
      <w:rFonts w:ascii="Times New Roman" w:hAnsi="Times New Roman" w:eastAsia="Times New Roman" w:cs="Times New Roman"/>
      <w:b/>
      <w:bCs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1"/>
      <w:ind w:left="20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81" w:lineRule="exact"/>
      <w:ind w:right="5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2024-09-16T08:45:37Z</dcterms:created>
  <dcterms:modified xsi:type="dcterms:W3CDTF">2024-09-16T08:45:37Z</dcterms:modified>
</cp:coreProperties>
</file>