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51"/>
        <w:rPr>
          <w:rFonts w:ascii="Times New Roman"/>
          <w:sz w:val="20"/>
        </w:rPr>
      </w:pPr>
      <w:r>
        <w:rPr>
          <w:rFonts w:ascii="Times New Roman"/>
          <w:sz w:val="20"/>
        </w:rPr>
        <w:drawing>
          <wp:inline distT="0" distB="0" distL="0" distR="0">
            <wp:extent cx="2566487" cy="90297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566487" cy="902970"/>
                    </a:xfrm>
                    <a:prstGeom prst="rect">
                      <a:avLst/>
                    </a:prstGeom>
                  </pic:spPr>
                </pic:pic>
              </a:graphicData>
            </a:graphic>
          </wp:inline>
        </w:drawing>
      </w:r>
      <w:r>
        <w:rPr>
          <w:rFonts w:ascii="Times New Roman"/>
          <w:sz w:val="20"/>
        </w:rPr>
      </w:r>
    </w:p>
    <w:p>
      <w:pPr>
        <w:pStyle w:val="BodyText"/>
        <w:rPr>
          <w:rFonts w:ascii="Times New Roman"/>
        </w:rPr>
      </w:pPr>
    </w:p>
    <w:p>
      <w:pPr>
        <w:pStyle w:val="BodyText"/>
        <w:spacing w:before="140"/>
        <w:rPr>
          <w:rFonts w:ascii="Times New Roman"/>
        </w:rPr>
      </w:pPr>
    </w:p>
    <w:p>
      <w:pPr>
        <w:pStyle w:val="Heading1"/>
        <w:spacing w:line="720" w:lineRule="auto" w:before="1"/>
        <w:ind w:firstLine="1416"/>
      </w:pPr>
      <w:r>
        <w:rPr/>
        <w:t>TEMA</w:t>
      </w:r>
      <w:r>
        <w:rPr>
          <w:spacing w:val="-10"/>
        </w:rPr>
        <w:t> </w:t>
      </w:r>
      <w:r>
        <w:rPr/>
        <w:t>:</w:t>
      </w:r>
      <w:r>
        <w:rPr>
          <w:spacing w:val="-10"/>
        </w:rPr>
        <w:t> </w:t>
      </w:r>
      <w:r>
        <w:rPr/>
        <w:t>MEMORIA</w:t>
      </w:r>
      <w:r>
        <w:rPr>
          <w:spacing w:val="40"/>
        </w:rPr>
        <w:t> </w:t>
      </w:r>
      <w:r>
        <w:rPr/>
        <w:t>LABORATORIO</w:t>
      </w:r>
      <w:r>
        <w:rPr>
          <w:spacing w:val="-5"/>
        </w:rPr>
        <w:t> </w:t>
      </w:r>
      <w:r>
        <w:rPr/>
        <w:t>MUNICIPAL</w:t>
      </w:r>
      <w:r>
        <w:rPr>
          <w:spacing w:val="-4"/>
        </w:rPr>
        <w:t> </w:t>
      </w:r>
      <w:r>
        <w:rPr/>
        <w:t>2011-2024 </w:t>
      </w:r>
      <w:r>
        <w:rPr>
          <w:spacing w:val="-2"/>
        </w:rPr>
        <w:t>ACTUACIONES</w:t>
      </w:r>
    </w:p>
    <w:p>
      <w:pPr>
        <w:spacing w:before="0"/>
        <w:ind w:left="429" w:right="0" w:firstLine="0"/>
        <w:jc w:val="both"/>
        <w:rPr>
          <w:rFonts w:ascii="Arial"/>
          <w:b/>
          <w:sz w:val="24"/>
        </w:rPr>
      </w:pPr>
      <w:r>
        <w:rPr>
          <w:rFonts w:ascii="Arial"/>
          <w:b/>
          <w:sz w:val="24"/>
        </w:rPr>
        <w:t>1.-RELACIONADAS</w:t>
      </w:r>
      <w:r>
        <w:rPr>
          <w:rFonts w:ascii="Arial"/>
          <w:b/>
          <w:spacing w:val="-1"/>
          <w:sz w:val="24"/>
        </w:rPr>
        <w:t> </w:t>
      </w:r>
      <w:r>
        <w:rPr>
          <w:rFonts w:ascii="Arial"/>
          <w:b/>
          <w:sz w:val="24"/>
        </w:rPr>
        <w:t>CON</w:t>
      </w:r>
      <w:r>
        <w:rPr>
          <w:rFonts w:ascii="Arial"/>
          <w:b/>
          <w:spacing w:val="-12"/>
          <w:sz w:val="24"/>
        </w:rPr>
        <w:t> </w:t>
      </w:r>
      <w:r>
        <w:rPr>
          <w:rFonts w:ascii="Arial"/>
          <w:b/>
          <w:sz w:val="24"/>
        </w:rPr>
        <w:t>AGUAS </w:t>
      </w:r>
      <w:r>
        <w:rPr>
          <w:rFonts w:ascii="Arial"/>
          <w:b/>
          <w:spacing w:val="-2"/>
          <w:sz w:val="24"/>
        </w:rPr>
        <w:t>POTABLES</w:t>
      </w:r>
    </w:p>
    <w:p>
      <w:pPr>
        <w:pStyle w:val="BodyText"/>
        <w:rPr>
          <w:rFonts w:ascii="Arial"/>
          <w:b/>
        </w:rPr>
      </w:pPr>
    </w:p>
    <w:p>
      <w:pPr>
        <w:pStyle w:val="BodyText"/>
        <w:rPr>
          <w:rFonts w:ascii="Arial"/>
          <w:b/>
        </w:rPr>
      </w:pPr>
    </w:p>
    <w:p>
      <w:pPr>
        <w:pStyle w:val="BodyText"/>
        <w:spacing w:line="360" w:lineRule="auto"/>
        <w:ind w:left="429" w:right="435"/>
        <w:jc w:val="both"/>
      </w:pPr>
      <w:r>
        <w:rPr>
          <w:rFonts w:ascii="Arial" w:hAnsi="Arial"/>
          <w:b/>
        </w:rPr>
        <w:t>Control de calidad</w:t>
      </w:r>
      <w:r>
        <w:rPr/>
        <w:t>, dentro del “Sistema de vigilancia de aguas destinadas al consumo humano”, implantado por la Consejería de Sanidad según RD 3/2023 por el que se establecen los criterios de calidad sanitaria del agua de consumo </w:t>
      </w:r>
      <w:r>
        <w:rPr>
          <w:spacing w:val="-2"/>
        </w:rPr>
        <w:t>humano.</w:t>
      </w:r>
    </w:p>
    <w:p>
      <w:pPr>
        <w:pStyle w:val="BodyText"/>
        <w:spacing w:before="138"/>
      </w:pPr>
    </w:p>
    <w:p>
      <w:pPr>
        <w:pStyle w:val="BodyText"/>
        <w:spacing w:line="360" w:lineRule="auto"/>
        <w:ind w:left="429" w:right="417" w:firstLine="76"/>
        <w:jc w:val="both"/>
      </w:pPr>
      <w:r>
        <w:rPr/>
        <w:t>En la obligación de velar por el cumplimiento</w:t>
      </w:r>
      <w:r>
        <w:rPr>
          <w:spacing w:val="40"/>
        </w:rPr>
        <w:t> </w:t>
      </w:r>
      <w:r>
        <w:rPr/>
        <w:t>del RD cuando los gestores son distintos del municipio (Art 4 pto 2 ), se ha establecido </w:t>
      </w:r>
      <w:r>
        <w:rPr>
          <w:rFonts w:ascii="Arial" w:hAnsi="Arial"/>
          <w:b/>
        </w:rPr>
        <w:t>un muestreo del término municipal</w:t>
      </w:r>
      <w:r>
        <w:rPr>
          <w:rFonts w:ascii="Arial" w:hAnsi="Arial"/>
          <w:b/>
          <w:spacing w:val="80"/>
        </w:rPr>
        <w:t> </w:t>
      </w:r>
      <w:r>
        <w:rPr/>
        <w:t>sobre 136 puntos, (106 entidades singulares y 30 depósitos ) determinando el agente desinfectante (cloro libre y cloro combinado), el pH, la turbidez y la conductividad.</w:t>
      </w:r>
    </w:p>
    <w:p>
      <w:pPr>
        <w:pStyle w:val="BodyText"/>
        <w:spacing w:before="138"/>
      </w:pPr>
    </w:p>
    <w:p>
      <w:pPr>
        <w:pStyle w:val="BodyText"/>
        <w:spacing w:line="360" w:lineRule="auto"/>
        <w:ind w:left="429" w:right="424"/>
        <w:jc w:val="both"/>
      </w:pPr>
      <w:r>
        <w:rPr>
          <w:rFonts w:ascii="Arial" w:hAnsi="Arial"/>
          <w:b/>
        </w:rPr>
        <w:t>Análisis del Grifo del consumidor </w:t>
      </w:r>
      <w:r>
        <w:rPr/>
        <w:t>(disposición transitoria primera y segunda del RD 3 /2023), 94 muestras por año con 8 parámetros por muestra que suman 752 determinaciones anuales.</w:t>
      </w:r>
    </w:p>
    <w:p>
      <w:pPr>
        <w:pStyle w:val="BodyText"/>
        <w:spacing w:before="138"/>
      </w:pPr>
    </w:p>
    <w:p>
      <w:pPr>
        <w:spacing w:before="0"/>
        <w:ind w:left="429" w:right="0" w:firstLine="0"/>
        <w:jc w:val="both"/>
        <w:rPr>
          <w:sz w:val="24"/>
        </w:rPr>
      </w:pPr>
      <w:r>
        <w:rPr>
          <w:rFonts w:ascii="Arial" w:hAnsi="Arial"/>
          <w:b/>
          <w:sz w:val="24"/>
        </w:rPr>
        <w:t>Análisis</w:t>
      </w:r>
      <w:r>
        <w:rPr>
          <w:rFonts w:ascii="Arial" w:hAnsi="Arial"/>
          <w:b/>
          <w:spacing w:val="-1"/>
          <w:sz w:val="24"/>
        </w:rPr>
        <w:t> </w:t>
      </w:r>
      <w:r>
        <w:rPr>
          <w:rFonts w:ascii="Arial" w:hAnsi="Arial"/>
          <w:b/>
          <w:sz w:val="24"/>
        </w:rPr>
        <w:t>de</w:t>
      </w:r>
      <w:r>
        <w:rPr>
          <w:rFonts w:ascii="Arial" w:hAnsi="Arial"/>
          <w:b/>
          <w:spacing w:val="-4"/>
          <w:sz w:val="24"/>
        </w:rPr>
        <w:t> </w:t>
      </w:r>
      <w:r>
        <w:rPr>
          <w:rFonts w:ascii="Arial" w:hAnsi="Arial"/>
          <w:b/>
          <w:sz w:val="24"/>
        </w:rPr>
        <w:t>manantiales</w:t>
      </w:r>
      <w:r>
        <w:rPr>
          <w:sz w:val="24"/>
        </w:rPr>
        <w:t>,</w:t>
      </w:r>
      <w:r>
        <w:rPr>
          <w:spacing w:val="-3"/>
          <w:sz w:val="24"/>
        </w:rPr>
        <w:t> </w:t>
      </w:r>
      <w:r>
        <w:rPr>
          <w:sz w:val="24"/>
        </w:rPr>
        <w:t>Los</w:t>
      </w:r>
      <w:r>
        <w:rPr>
          <w:spacing w:val="-2"/>
          <w:sz w:val="24"/>
        </w:rPr>
        <w:t> </w:t>
      </w:r>
      <w:r>
        <w:rPr>
          <w:sz w:val="24"/>
        </w:rPr>
        <w:t>Belones</w:t>
      </w:r>
      <w:r>
        <w:rPr>
          <w:spacing w:val="-2"/>
          <w:sz w:val="24"/>
        </w:rPr>
        <w:t> mensual.</w:t>
      </w:r>
    </w:p>
    <w:p>
      <w:pPr>
        <w:pStyle w:val="BodyText"/>
      </w:pPr>
    </w:p>
    <w:p>
      <w:pPr>
        <w:pStyle w:val="BodyText"/>
      </w:pPr>
    </w:p>
    <w:p>
      <w:pPr>
        <w:pStyle w:val="BodyText"/>
        <w:spacing w:line="360" w:lineRule="auto"/>
        <w:ind w:left="429" w:right="422"/>
        <w:jc w:val="both"/>
      </w:pPr>
      <w:r>
        <w:rPr>
          <w:rFonts w:ascii="Arial" w:hAnsi="Arial"/>
          <w:b/>
        </w:rPr>
        <w:t>Análisis de control de red de abastecimiento. </w:t>
      </w:r>
      <w:r>
        <w:rPr/>
        <w:t>El laboratorio ha llevado a cabo el análisis de 36 muestras de la red de abastecimiento de Cartagena determinando en cada una 12 parámetros. Estas muestras se recogen por incidencias comunicadas por ciudadanos o por orden del Jefe de Laboratorio.</w:t>
      </w:r>
    </w:p>
    <w:p>
      <w:pPr>
        <w:pStyle w:val="BodyText"/>
        <w:spacing w:after="0" w:line="360" w:lineRule="auto"/>
        <w:jc w:val="both"/>
        <w:sectPr>
          <w:type w:val="continuous"/>
          <w:pgSz w:w="11900" w:h="16840"/>
          <w:pgMar w:top="1580" w:bottom="280" w:left="1275" w:right="1275"/>
        </w:sectPr>
      </w:pPr>
    </w:p>
    <w:p>
      <w:pPr>
        <w:pStyle w:val="BodyText"/>
        <w:spacing w:before="28"/>
      </w:pPr>
    </w:p>
    <w:p>
      <w:pPr>
        <w:pStyle w:val="Heading1"/>
        <w:spacing w:before="1"/>
        <w:jc w:val="both"/>
      </w:pPr>
      <w:r>
        <w:rPr/>
        <w:t>2.-RELACIONADAS</w:t>
      </w:r>
      <w:r>
        <w:rPr>
          <w:spacing w:val="-1"/>
        </w:rPr>
        <w:t> </w:t>
      </w:r>
      <w:r>
        <w:rPr/>
        <w:t>CON</w:t>
      </w:r>
      <w:r>
        <w:rPr>
          <w:spacing w:val="-12"/>
        </w:rPr>
        <w:t> </w:t>
      </w:r>
      <w:r>
        <w:rPr/>
        <w:t>AGUAS </w:t>
      </w:r>
      <w:r>
        <w:rPr>
          <w:spacing w:val="-2"/>
        </w:rPr>
        <w:t>RESIDUALES</w:t>
      </w:r>
    </w:p>
    <w:p>
      <w:pPr>
        <w:pStyle w:val="BodyText"/>
        <w:spacing w:before="275"/>
        <w:rPr>
          <w:rFonts w:ascii="Arial"/>
          <w:b/>
        </w:rPr>
      </w:pPr>
    </w:p>
    <w:p>
      <w:pPr>
        <w:pStyle w:val="BodyText"/>
        <w:spacing w:line="360" w:lineRule="auto" w:before="1"/>
        <w:ind w:left="429" w:right="426"/>
        <w:jc w:val="both"/>
      </w:pPr>
      <w:r>
        <w:rPr>
          <w:rFonts w:ascii="Arial" w:hAnsi="Arial"/>
          <w:b/>
        </w:rPr>
        <w:t>- Análisis de Vertidos </w:t>
      </w:r>
      <w:r>
        <w:rPr/>
        <w:t>al alcantarillado, susceptibles de tratamiento en la EDAR Cabezo Beaza, dentro de la programación que tiene por objeto conocer el perfil del agua residual, urbana y controlar los vertidos de las empresas (D 16/1999, sobre Vertidos de aguas residuales Industriales al Alcantarillado; Ley 3/2000 de Saneamiento y depuración de Aguas Residuales en la Región de Murcia ):</w:t>
      </w:r>
    </w:p>
    <w:p>
      <w:pPr>
        <w:pStyle w:val="BodyText"/>
        <w:spacing w:before="138"/>
      </w:pPr>
    </w:p>
    <w:p>
      <w:pPr>
        <w:pStyle w:val="BodyText"/>
        <w:spacing w:line="360" w:lineRule="auto"/>
        <w:ind w:left="429" w:right="431"/>
        <w:jc w:val="both"/>
      </w:pPr>
      <w:r>
        <w:rPr/>
        <w:t>En la red de saneamiento se controlan de 24 a 40 puntos de muestreo mensuales, realizando un 50% el laboratorio municipal. Se analizan los parámetros de pH, conductividad, DBO (Demanda Bioquímica de oxigeno), DQO ( Demanda química de Oxigeno) y Sólidos en suspensión, representado un total aproximado de 1200 determinaciones anuales.</w:t>
      </w:r>
    </w:p>
    <w:p>
      <w:pPr>
        <w:pStyle w:val="BodyText"/>
        <w:spacing w:before="138"/>
      </w:pPr>
    </w:p>
    <w:p>
      <w:pPr>
        <w:pStyle w:val="BodyText"/>
        <w:spacing w:line="360" w:lineRule="auto"/>
        <w:ind w:left="429" w:right="428"/>
        <w:jc w:val="both"/>
      </w:pPr>
      <w:r>
        <w:rPr/>
        <w:t>Además, se analizan muestras de vertidos industriales, dentro del Plan de Control de Vertidos, que puedan suponer un incumplimiento (entre 20 y 30).</w:t>
      </w:r>
    </w:p>
    <w:p>
      <w:pPr>
        <w:pStyle w:val="BodyText"/>
        <w:spacing w:before="138"/>
      </w:pPr>
    </w:p>
    <w:p>
      <w:pPr>
        <w:spacing w:before="0"/>
        <w:ind w:left="429" w:right="0" w:firstLine="0"/>
        <w:jc w:val="both"/>
        <w:rPr>
          <w:sz w:val="24"/>
        </w:rPr>
      </w:pPr>
      <w:r>
        <w:rPr>
          <w:sz w:val="24"/>
        </w:rPr>
        <w:t>-</w:t>
      </w:r>
      <w:r>
        <w:rPr>
          <w:spacing w:val="-6"/>
          <w:sz w:val="24"/>
        </w:rPr>
        <w:t> </w:t>
      </w:r>
      <w:r>
        <w:rPr>
          <w:rFonts w:ascii="Arial" w:hAnsi="Arial"/>
          <w:b/>
          <w:sz w:val="24"/>
        </w:rPr>
        <w:t>Análisis</w:t>
      </w:r>
      <w:r>
        <w:rPr>
          <w:rFonts w:ascii="Arial" w:hAnsi="Arial"/>
          <w:b/>
          <w:spacing w:val="62"/>
          <w:sz w:val="24"/>
        </w:rPr>
        <w:t> </w:t>
      </w:r>
      <w:r>
        <w:rPr>
          <w:rFonts w:ascii="Arial" w:hAnsi="Arial"/>
          <w:b/>
          <w:sz w:val="24"/>
        </w:rPr>
        <w:t>de</w:t>
      </w:r>
      <w:r>
        <w:rPr>
          <w:rFonts w:ascii="Arial" w:hAnsi="Arial"/>
          <w:b/>
          <w:spacing w:val="-4"/>
          <w:sz w:val="24"/>
        </w:rPr>
        <w:t> </w:t>
      </w:r>
      <w:r>
        <w:rPr>
          <w:rFonts w:ascii="Arial" w:hAnsi="Arial"/>
          <w:b/>
          <w:sz w:val="24"/>
        </w:rPr>
        <w:t>EDARs</w:t>
      </w:r>
      <w:r>
        <w:rPr>
          <w:rFonts w:ascii="Arial" w:hAnsi="Arial"/>
          <w:b/>
          <w:spacing w:val="71"/>
          <w:sz w:val="24"/>
        </w:rPr>
        <w:t> </w:t>
      </w:r>
      <w:r>
        <w:rPr>
          <w:sz w:val="24"/>
        </w:rPr>
        <w:t>(</w:t>
      </w:r>
      <w:r>
        <w:rPr>
          <w:spacing w:val="-3"/>
          <w:sz w:val="24"/>
        </w:rPr>
        <w:t> </w:t>
      </w:r>
      <w:r>
        <w:rPr>
          <w:sz w:val="24"/>
        </w:rPr>
        <w:t>Estaciones</w:t>
      </w:r>
      <w:r>
        <w:rPr>
          <w:spacing w:val="-4"/>
          <w:sz w:val="24"/>
        </w:rPr>
        <w:t> </w:t>
      </w:r>
      <w:r>
        <w:rPr>
          <w:sz w:val="24"/>
        </w:rPr>
        <w:t>depuradoras</w:t>
      </w:r>
      <w:r>
        <w:rPr>
          <w:spacing w:val="-2"/>
          <w:sz w:val="24"/>
        </w:rPr>
        <w:t> </w:t>
      </w:r>
      <w:r>
        <w:rPr>
          <w:sz w:val="24"/>
        </w:rPr>
        <w:t>de</w:t>
      </w:r>
      <w:r>
        <w:rPr>
          <w:spacing w:val="-4"/>
          <w:sz w:val="24"/>
        </w:rPr>
        <w:t> </w:t>
      </w:r>
      <w:r>
        <w:rPr>
          <w:sz w:val="24"/>
        </w:rPr>
        <w:t>aguas</w:t>
      </w:r>
      <w:r>
        <w:rPr>
          <w:spacing w:val="-1"/>
          <w:sz w:val="24"/>
        </w:rPr>
        <w:t> </w:t>
      </w:r>
      <w:r>
        <w:rPr>
          <w:spacing w:val="-2"/>
          <w:sz w:val="24"/>
        </w:rPr>
        <w:t>residuales)</w:t>
      </w:r>
    </w:p>
    <w:p>
      <w:pPr>
        <w:pStyle w:val="BodyText"/>
      </w:pPr>
    </w:p>
    <w:p>
      <w:pPr>
        <w:pStyle w:val="BodyText"/>
      </w:pPr>
    </w:p>
    <w:p>
      <w:pPr>
        <w:pStyle w:val="BodyText"/>
        <w:ind w:left="429"/>
        <w:jc w:val="both"/>
      </w:pPr>
      <w:r>
        <w:rPr/>
        <w:t>-MAR</w:t>
      </w:r>
      <w:r>
        <w:rPr>
          <w:spacing w:val="-4"/>
        </w:rPr>
        <w:t> </w:t>
      </w:r>
      <w:r>
        <w:rPr/>
        <w:t>MENOR</w:t>
      </w:r>
      <w:r>
        <w:rPr>
          <w:spacing w:val="-4"/>
        </w:rPr>
        <w:t> </w:t>
      </w:r>
      <w:r>
        <w:rPr/>
        <w:t>SUR.:</w:t>
      </w:r>
      <w:r>
        <w:rPr>
          <w:spacing w:val="-3"/>
        </w:rPr>
        <w:t> </w:t>
      </w:r>
      <w:r>
        <w:rPr/>
        <w:t>Semanal,</w:t>
      </w:r>
      <w:r>
        <w:rPr>
          <w:spacing w:val="-3"/>
        </w:rPr>
        <w:t> </w:t>
      </w:r>
      <w:r>
        <w:rPr/>
        <w:t>salida</w:t>
      </w:r>
      <w:r>
        <w:rPr>
          <w:spacing w:val="-4"/>
        </w:rPr>
        <w:t> </w:t>
      </w:r>
      <w:r>
        <w:rPr/>
        <w:t>de</w:t>
      </w:r>
      <w:r>
        <w:rPr>
          <w:spacing w:val="-3"/>
        </w:rPr>
        <w:t> </w:t>
      </w:r>
      <w:r>
        <w:rPr/>
        <w:t>la</w:t>
      </w:r>
      <w:r>
        <w:rPr>
          <w:spacing w:val="-3"/>
        </w:rPr>
        <w:t> </w:t>
      </w:r>
      <w:r>
        <w:rPr>
          <w:spacing w:val="-2"/>
        </w:rPr>
        <w:t>EDAR.</w:t>
      </w:r>
    </w:p>
    <w:p>
      <w:pPr>
        <w:pStyle w:val="BodyText"/>
        <w:spacing w:line="360" w:lineRule="auto" w:before="138"/>
        <w:ind w:left="429" w:right="428"/>
        <w:jc w:val="both"/>
      </w:pPr>
      <w:r>
        <w:rPr/>
        <w:t>Muestras en las que se realizan además de las parámetros fisicoquímicos propios de los análisis de aguas residuales, los parámetros microbiológicos indicadores de contaminación, con un resultado sobre 400 determinaciones anuales .</w:t>
      </w:r>
    </w:p>
    <w:p>
      <w:pPr>
        <w:pStyle w:val="BodyText"/>
        <w:spacing w:after="0" w:line="360" w:lineRule="auto"/>
        <w:jc w:val="both"/>
        <w:sectPr>
          <w:pgSz w:w="11900" w:h="16840"/>
          <w:pgMar w:top="1940" w:bottom="280" w:left="1275" w:right="1275"/>
        </w:sectPr>
      </w:pPr>
    </w:p>
    <w:p>
      <w:pPr>
        <w:pStyle w:val="Heading1"/>
        <w:spacing w:before="77"/>
      </w:pPr>
      <w:r>
        <w:rPr/>
        <w:t>3.-RELACIONADAS</w:t>
      </w:r>
      <w:r>
        <w:rPr>
          <w:spacing w:val="-1"/>
        </w:rPr>
        <w:t> </w:t>
      </w:r>
      <w:r>
        <w:rPr/>
        <w:t>CON</w:t>
      </w:r>
      <w:r>
        <w:rPr>
          <w:spacing w:val="-8"/>
        </w:rPr>
        <w:t> </w:t>
      </w:r>
      <w:r>
        <w:rPr/>
        <w:t>AGUAS</w:t>
      </w:r>
      <w:r>
        <w:rPr>
          <w:spacing w:val="1"/>
        </w:rPr>
        <w:t> </w:t>
      </w:r>
      <w:r>
        <w:rPr/>
        <w:t>DE</w:t>
      </w:r>
      <w:r>
        <w:rPr>
          <w:spacing w:val="-8"/>
        </w:rPr>
        <w:t> </w:t>
      </w:r>
      <w:r>
        <w:rPr>
          <w:spacing w:val="-5"/>
        </w:rPr>
        <w:t>MAR</w:t>
      </w:r>
    </w:p>
    <w:p>
      <w:pPr>
        <w:pStyle w:val="BodyText"/>
        <w:spacing w:before="275"/>
        <w:rPr>
          <w:rFonts w:ascii="Arial"/>
          <w:b/>
        </w:rPr>
      </w:pPr>
    </w:p>
    <w:p>
      <w:pPr>
        <w:pStyle w:val="BodyText"/>
        <w:spacing w:before="1"/>
        <w:ind w:left="429"/>
        <w:jc w:val="both"/>
      </w:pPr>
      <w:r>
        <w:rPr/>
        <w:t>Análisis</w:t>
      </w:r>
      <w:r>
        <w:rPr>
          <w:spacing w:val="-4"/>
        </w:rPr>
        <w:t> </w:t>
      </w:r>
      <w:r>
        <w:rPr/>
        <w:t>del</w:t>
      </w:r>
      <w:r>
        <w:rPr>
          <w:spacing w:val="-1"/>
        </w:rPr>
        <w:t> </w:t>
      </w:r>
      <w:r>
        <w:rPr/>
        <w:t>agua</w:t>
      </w:r>
      <w:r>
        <w:rPr>
          <w:spacing w:val="-3"/>
        </w:rPr>
        <w:t> </w:t>
      </w:r>
      <w:r>
        <w:rPr/>
        <w:t>de</w:t>
      </w:r>
      <w:r>
        <w:rPr>
          <w:spacing w:val="-1"/>
        </w:rPr>
        <w:t> </w:t>
      </w:r>
      <w:r>
        <w:rPr/>
        <w:t>mar</w:t>
      </w:r>
      <w:r>
        <w:rPr>
          <w:spacing w:val="-3"/>
        </w:rPr>
        <w:t> </w:t>
      </w:r>
      <w:r>
        <w:rPr/>
        <w:t>de</w:t>
      </w:r>
      <w:r>
        <w:rPr>
          <w:spacing w:val="-1"/>
        </w:rPr>
        <w:t> </w:t>
      </w:r>
      <w:r>
        <w:rPr/>
        <w:t>Cala</w:t>
      </w:r>
      <w:r>
        <w:rPr>
          <w:spacing w:val="-3"/>
        </w:rPr>
        <w:t> </w:t>
      </w:r>
      <w:r>
        <w:rPr/>
        <w:t>Reona:</w:t>
      </w:r>
      <w:r>
        <w:rPr>
          <w:spacing w:val="-4"/>
        </w:rPr>
        <w:t> </w:t>
      </w:r>
      <w:r>
        <w:rPr>
          <w:spacing w:val="-2"/>
        </w:rPr>
        <w:t>semanal.</w:t>
      </w:r>
    </w:p>
    <w:p>
      <w:pPr>
        <w:pStyle w:val="BodyText"/>
        <w:spacing w:line="360" w:lineRule="auto" w:before="138"/>
        <w:ind w:left="429" w:right="430"/>
        <w:jc w:val="both"/>
      </w:pPr>
      <w:r>
        <w:rPr/>
        <w:t>Muestras en las que se analizan parámetros microbiológicos indicadores de </w:t>
      </w:r>
      <w:r>
        <w:rPr>
          <w:spacing w:val="-2"/>
        </w:rPr>
        <w:t>contaminación.</w:t>
      </w:r>
    </w:p>
    <w:p>
      <w:pPr>
        <w:pStyle w:val="BodyText"/>
        <w:spacing w:before="138"/>
      </w:pPr>
    </w:p>
    <w:p>
      <w:pPr>
        <w:pStyle w:val="Heading1"/>
      </w:pPr>
      <w:r>
        <w:rPr/>
        <w:t>4.-</w:t>
      </w:r>
      <w:r>
        <w:rPr>
          <w:spacing w:val="-9"/>
        </w:rPr>
        <w:t> </w:t>
      </w:r>
      <w:r>
        <w:rPr/>
        <w:t>RELACIONADAS</w:t>
      </w:r>
      <w:r>
        <w:rPr>
          <w:spacing w:val="4"/>
        </w:rPr>
        <w:t> </w:t>
      </w:r>
      <w:r>
        <w:rPr/>
        <w:t>CON</w:t>
      </w:r>
      <w:r>
        <w:rPr>
          <w:spacing w:val="-6"/>
        </w:rPr>
        <w:t> </w:t>
      </w:r>
      <w:r>
        <w:rPr/>
        <w:t>AGUAS DE</w:t>
      </w:r>
      <w:r>
        <w:rPr>
          <w:spacing w:val="-7"/>
        </w:rPr>
        <w:t> </w:t>
      </w:r>
      <w:r>
        <w:rPr>
          <w:spacing w:val="-2"/>
        </w:rPr>
        <w:t>PISCINAS</w:t>
      </w:r>
    </w:p>
    <w:p>
      <w:pPr>
        <w:pStyle w:val="BodyText"/>
        <w:rPr>
          <w:rFonts w:ascii="Arial"/>
          <w:b/>
        </w:rPr>
      </w:pPr>
    </w:p>
    <w:p>
      <w:pPr>
        <w:pStyle w:val="BodyText"/>
        <w:rPr>
          <w:rFonts w:ascii="Arial"/>
          <w:b/>
        </w:rPr>
      </w:pPr>
    </w:p>
    <w:p>
      <w:pPr>
        <w:pStyle w:val="BodyText"/>
        <w:spacing w:line="360" w:lineRule="auto"/>
        <w:ind w:left="429" w:right="424"/>
        <w:jc w:val="both"/>
      </w:pPr>
      <w:r>
        <w:rPr>
          <w:rFonts w:ascii="Arial" w:hAnsi="Arial"/>
          <w:b/>
        </w:rPr>
        <w:t>Analisis de las piscinas municipales, </w:t>
      </w:r>
      <w:r>
        <w:rPr/>
        <w:t>de la Aljorra , Pozo Estrecho, Casa de la Juventud</w:t>
      </w:r>
      <w:r>
        <w:rPr>
          <w:spacing w:val="40"/>
        </w:rPr>
        <w:t> </w:t>
      </w:r>
      <w:r>
        <w:rPr/>
        <w:t>y piscinas del Palacio de Deportes en Cartagena. Y vigilancia de salud pública en piscinas municipales con gestión privada como la Piscina cubierta de Wssell de Guimbarda.</w:t>
      </w:r>
    </w:p>
    <w:p>
      <w:pPr>
        <w:pStyle w:val="BodyText"/>
        <w:spacing w:line="360" w:lineRule="auto"/>
        <w:ind w:left="429" w:right="428"/>
        <w:jc w:val="both"/>
      </w:pPr>
      <w:r>
        <w:rPr/>
        <w:t>El RD 742/2013, de 27 de septiembre, por el que se establecen los criterios técnico-sanitarios</w:t>
      </w:r>
      <w:r>
        <w:rPr>
          <w:spacing w:val="40"/>
        </w:rPr>
        <w:t> </w:t>
      </w:r>
      <w:r>
        <w:rPr/>
        <w:t>de las piscinas, obliga a los controles mensuales en las instalaciones en el punto de la</w:t>
      </w:r>
      <w:r>
        <w:rPr>
          <w:spacing w:val="40"/>
        </w:rPr>
        <w:t> </w:t>
      </w:r>
      <w:r>
        <w:rPr/>
        <w:t>entrada de agua</w:t>
      </w:r>
      <w:r>
        <w:rPr>
          <w:spacing w:val="40"/>
        </w:rPr>
        <w:t> </w:t>
      </w:r>
      <w:r>
        <w:rPr/>
        <w:t>y en todos los vasos, ademas de los controles diarios realizados “in situ” por el personal encargado del </w:t>
      </w:r>
      <w:r>
        <w:rPr>
          <w:spacing w:val="-2"/>
        </w:rPr>
        <w:t>mantenimiento.</w:t>
      </w:r>
    </w:p>
    <w:p>
      <w:pPr>
        <w:pStyle w:val="BodyText"/>
        <w:spacing w:line="360" w:lineRule="auto"/>
        <w:ind w:left="429" w:right="433"/>
        <w:jc w:val="both"/>
        <w:rPr>
          <w:rFonts w:ascii="Arial" w:hAnsi="Arial"/>
          <w:b/>
        </w:rPr>
      </w:pPr>
      <w:r>
        <w:rPr/>
        <w:t>Estos controles mensuales implican parámetros fisico-químicos</w:t>
      </w:r>
      <w:r>
        <w:rPr>
          <w:spacing w:val="40"/>
        </w:rPr>
        <w:t> </w:t>
      </w:r>
      <w:r>
        <w:rPr/>
        <w:t>(PH, Turbidez</w:t>
      </w:r>
      <w:r>
        <w:rPr>
          <w:spacing w:val="40"/>
        </w:rPr>
        <w:t> </w:t>
      </w:r>
      <w:r>
        <w:rPr/>
        <w:t>y agente desinfectante )</w:t>
      </w:r>
      <w:r>
        <w:rPr>
          <w:spacing w:val="40"/>
        </w:rPr>
        <w:t> </w:t>
      </w:r>
      <w:r>
        <w:rPr/>
        <w:t>y microbiológicos (</w:t>
      </w:r>
      <w:r>
        <w:rPr>
          <w:rFonts w:ascii="Arial" w:hAnsi="Arial"/>
          <w:i/>
        </w:rPr>
        <w:t>E Coli y Pseudomona </w:t>
      </w:r>
      <w:r>
        <w:rPr/>
        <w:t>aeruginosa)</w:t>
      </w:r>
      <w:r>
        <w:rPr>
          <w:rFonts w:ascii="Arial" w:hAnsi="Arial"/>
          <w:b/>
        </w:rPr>
        <w:t>.</w:t>
      </w:r>
    </w:p>
    <w:p>
      <w:pPr>
        <w:pStyle w:val="BodyText"/>
        <w:spacing w:before="138"/>
        <w:rPr>
          <w:rFonts w:ascii="Arial"/>
          <w:b/>
        </w:rPr>
      </w:pPr>
    </w:p>
    <w:p>
      <w:pPr>
        <w:pStyle w:val="Heading1"/>
      </w:pPr>
      <w:r>
        <w:rPr/>
        <w:t>5.-RELACIONADAS</w:t>
      </w:r>
      <w:r>
        <w:rPr>
          <w:spacing w:val="-1"/>
        </w:rPr>
        <w:t> </w:t>
      </w:r>
      <w:r>
        <w:rPr/>
        <w:t>CON</w:t>
      </w:r>
      <w:r>
        <w:rPr>
          <w:spacing w:val="-10"/>
        </w:rPr>
        <w:t> </w:t>
      </w:r>
      <w:r>
        <w:rPr>
          <w:spacing w:val="-2"/>
        </w:rPr>
        <w:t>CLIENTES</w:t>
      </w:r>
    </w:p>
    <w:p>
      <w:pPr>
        <w:pStyle w:val="BodyText"/>
        <w:rPr>
          <w:rFonts w:ascii="Arial"/>
          <w:b/>
        </w:rPr>
      </w:pPr>
    </w:p>
    <w:p>
      <w:pPr>
        <w:pStyle w:val="BodyText"/>
        <w:rPr>
          <w:rFonts w:ascii="Arial"/>
          <w:b/>
        </w:rPr>
      </w:pPr>
    </w:p>
    <w:p>
      <w:pPr>
        <w:pStyle w:val="BodyText"/>
        <w:spacing w:line="360" w:lineRule="auto"/>
        <w:ind w:left="429" w:right="429"/>
        <w:jc w:val="both"/>
      </w:pPr>
      <w:r>
        <w:rPr>
          <w:rFonts w:ascii="Arial" w:hAnsi="Arial"/>
          <w:b/>
        </w:rPr>
        <w:t>Análisis de particulares , </w:t>
      </w:r>
      <w:r>
        <w:rPr/>
        <w:t>aguas de diferentes orígenes ( pozo, depósitos, piscinas, potables tratadas con equipos domésticos, regeneradas, resultantes de procesos de depuración industriales</w:t>
      </w:r>
      <w:r>
        <w:rPr>
          <w:spacing w:val="40"/>
        </w:rPr>
        <w:t> </w:t>
      </w:r>
      <w:r>
        <w:rPr/>
        <w:t>...) y usos (consumo , riego...).</w:t>
      </w:r>
    </w:p>
    <w:p>
      <w:pPr>
        <w:pStyle w:val="BodyText"/>
        <w:spacing w:line="360" w:lineRule="auto"/>
        <w:ind w:left="429" w:right="433"/>
        <w:jc w:val="both"/>
      </w:pPr>
      <w:r>
        <w:rPr/>
        <w:t>Con motivo de la municipalización del laboratorio se establecieron los precios públicos de las analíticas que fueron publicados</w:t>
      </w:r>
      <w:r>
        <w:rPr>
          <w:spacing w:val="40"/>
        </w:rPr>
        <w:t> </w:t>
      </w:r>
      <w:r>
        <w:rPr/>
        <w:t>en el Boletín Oficial</w:t>
      </w:r>
      <w:r>
        <w:rPr>
          <w:spacing w:val="40"/>
        </w:rPr>
        <w:t> </w:t>
      </w:r>
      <w:r>
        <w:rPr/>
        <w:t>de la Región de Murcia en Abril de 2011.</w:t>
      </w:r>
    </w:p>
    <w:p>
      <w:pPr>
        <w:pStyle w:val="BodyText"/>
        <w:spacing w:after="0" w:line="360" w:lineRule="auto"/>
        <w:jc w:val="both"/>
        <w:sectPr>
          <w:pgSz w:w="11900" w:h="16840"/>
          <w:pgMar w:top="1340" w:bottom="280" w:left="1275" w:right="1275"/>
        </w:sectPr>
      </w:pPr>
    </w:p>
    <w:p>
      <w:pPr>
        <w:pStyle w:val="Heading1"/>
        <w:spacing w:before="77"/>
        <w:jc w:val="both"/>
      </w:pPr>
      <w:r>
        <w:rPr/>
        <w:t>6.-</w:t>
      </w:r>
      <w:r>
        <w:rPr>
          <w:spacing w:val="-6"/>
        </w:rPr>
        <w:t> </w:t>
      </w:r>
      <w:r>
        <w:rPr/>
        <w:t>OTRAS</w:t>
      </w:r>
      <w:r>
        <w:rPr>
          <w:spacing w:val="2"/>
        </w:rPr>
        <w:t> </w:t>
      </w:r>
      <w:r>
        <w:rPr>
          <w:spacing w:val="-2"/>
        </w:rPr>
        <w:t>ACTIVIDADES</w:t>
      </w:r>
    </w:p>
    <w:p>
      <w:pPr>
        <w:pStyle w:val="BodyText"/>
        <w:spacing w:before="275"/>
        <w:rPr>
          <w:rFonts w:ascii="Arial"/>
          <w:b/>
        </w:rPr>
      </w:pPr>
    </w:p>
    <w:p>
      <w:pPr>
        <w:pStyle w:val="BodyText"/>
        <w:spacing w:line="360" w:lineRule="auto" w:before="1"/>
        <w:ind w:left="429" w:right="430"/>
        <w:jc w:val="both"/>
        <w:rPr>
          <w:rFonts w:ascii="Arial" w:hAnsi="Arial"/>
          <w:b/>
        </w:rPr>
      </w:pPr>
      <w:r>
        <w:rPr/>
        <w:t>El laboratorio está Acreditado por ENAC (Entidad nacional de Acreditación ), según los criterios</w:t>
      </w:r>
      <w:r>
        <w:rPr>
          <w:spacing w:val="80"/>
        </w:rPr>
        <w:t> </w:t>
      </w:r>
      <w:r>
        <w:rPr/>
        <w:t>de la Norma UNE-EN ISO /IEC</w:t>
      </w:r>
      <w:r>
        <w:rPr>
          <w:spacing w:val="80"/>
        </w:rPr>
        <w:t> </w:t>
      </w:r>
      <w:r>
        <w:rPr/>
        <w:t>17025</w:t>
      </w:r>
      <w:r>
        <w:rPr>
          <w:spacing w:val="80"/>
        </w:rPr>
        <w:t> </w:t>
      </w:r>
      <w:r>
        <w:rPr/>
        <w:t>para la realización de los Ensayos en Aguas que se definen en el Anexo técnico que se actualiza, </w:t>
      </w:r>
      <w:r>
        <w:rPr>
          <w:rFonts w:ascii="Arial" w:hAnsi="Arial"/>
          <w:b/>
        </w:rPr>
        <w:t>Acreditación nº 586/LE1245</w:t>
      </w:r>
      <w:r>
        <w:rPr>
          <w:rFonts w:ascii="Arial" w:hAnsi="Arial"/>
          <w:b/>
          <w:spacing w:val="40"/>
        </w:rPr>
        <w:t> </w:t>
      </w:r>
      <w:r>
        <w:rPr/>
        <w:t>desde</w:t>
      </w:r>
      <w:r>
        <w:rPr>
          <w:spacing w:val="40"/>
        </w:rPr>
        <w:t> </w:t>
      </w:r>
      <w:r>
        <w:rPr>
          <w:rFonts w:ascii="Arial" w:hAnsi="Arial"/>
          <w:b/>
        </w:rPr>
        <w:t>08/06/2007.</w:t>
      </w:r>
    </w:p>
    <w:p>
      <w:pPr>
        <w:pStyle w:val="BodyText"/>
        <w:spacing w:before="138"/>
        <w:rPr>
          <w:rFonts w:ascii="Arial"/>
          <w:b/>
        </w:rPr>
      </w:pPr>
    </w:p>
    <w:p>
      <w:pPr>
        <w:pStyle w:val="BodyText"/>
        <w:spacing w:line="360" w:lineRule="auto"/>
        <w:ind w:left="429" w:right="428"/>
        <w:jc w:val="both"/>
      </w:pPr>
      <w:r>
        <w:rPr/>
        <w:t>Como consecuencia de la Acreditación participa en Ejercicios de Intercomparación</w:t>
      </w:r>
      <w:r>
        <w:rPr>
          <w:spacing w:val="40"/>
        </w:rPr>
        <w:t> </w:t>
      </w:r>
      <w:r>
        <w:rPr/>
        <w:t>y esta sujeto anualmente, a una auditoria interna y otra externa, esta última la lleva a cabo</w:t>
      </w:r>
      <w:r>
        <w:rPr>
          <w:spacing w:val="40"/>
        </w:rPr>
        <w:t> </w:t>
      </w:r>
      <w:r>
        <w:rPr/>
        <w:t>ENAC.</w:t>
      </w:r>
    </w:p>
    <w:p>
      <w:pPr>
        <w:pStyle w:val="BodyText"/>
        <w:spacing w:before="138"/>
      </w:pPr>
    </w:p>
    <w:p>
      <w:pPr>
        <w:pStyle w:val="BodyText"/>
        <w:spacing w:line="360" w:lineRule="auto"/>
        <w:ind w:left="429" w:right="428"/>
        <w:jc w:val="both"/>
      </w:pPr>
      <w:r>
        <w:rPr/>
        <w:t>Participa en la realización de prácticas de empresa por parte de los alumnos mediante</w:t>
      </w:r>
      <w:r>
        <w:rPr>
          <w:spacing w:val="40"/>
        </w:rPr>
        <w:t> </w:t>
      </w:r>
      <w:r>
        <w:rPr/>
        <w:t>los convenios de Colaboración suscritos con la</w:t>
      </w:r>
      <w:r>
        <w:rPr>
          <w:spacing w:val="40"/>
        </w:rPr>
        <w:t> </w:t>
      </w:r>
      <w:r>
        <w:rPr/>
        <w:t>Universidad</w:t>
      </w:r>
      <w:r>
        <w:rPr>
          <w:spacing w:val="40"/>
        </w:rPr>
        <w:t> </w:t>
      </w:r>
      <w:r>
        <w:rPr/>
        <w:t>y/ o los centros educativos .</w:t>
      </w:r>
    </w:p>
    <w:p>
      <w:pPr>
        <w:pStyle w:val="BodyText"/>
        <w:spacing w:before="138"/>
      </w:pPr>
    </w:p>
    <w:p>
      <w:pPr>
        <w:spacing w:before="0"/>
        <w:ind w:left="429" w:right="0" w:firstLine="0"/>
        <w:jc w:val="both"/>
        <w:rPr>
          <w:rFonts w:ascii="Arial"/>
          <w:b/>
          <w:sz w:val="24"/>
        </w:rPr>
      </w:pPr>
      <w:r>
        <w:rPr>
          <w:rFonts w:ascii="Arial"/>
          <w:b/>
          <w:sz w:val="24"/>
        </w:rPr>
        <w:t>Tabla</w:t>
      </w:r>
      <w:r>
        <w:rPr>
          <w:rFonts w:ascii="Arial"/>
          <w:b/>
          <w:spacing w:val="-2"/>
          <w:sz w:val="24"/>
        </w:rPr>
        <w:t> resumen:</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61"/>
        <w:rPr>
          <w:rFonts w:ascii="Arial"/>
          <w:b/>
          <w:sz w:val="20"/>
        </w:rPr>
      </w:pPr>
      <w:r>
        <w:rPr>
          <w:rFonts w:ascii="Arial"/>
          <w:b/>
          <w:sz w:val="20"/>
        </w:rPr>
        <w:drawing>
          <wp:anchor distT="0" distB="0" distL="0" distR="0" allowOverlap="1" layoutInCell="1" locked="0" behindDoc="1" simplePos="0" relativeHeight="487587840">
            <wp:simplePos x="0" y="0"/>
            <wp:positionH relativeFrom="page">
              <wp:posOffset>1517650</wp:posOffset>
            </wp:positionH>
            <wp:positionV relativeFrom="paragraph">
              <wp:posOffset>263874</wp:posOffset>
            </wp:positionV>
            <wp:extent cx="4383866" cy="4098416"/>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383866" cy="4098416"/>
                    </a:xfrm>
                    <a:prstGeom prst="rect">
                      <a:avLst/>
                    </a:prstGeom>
                  </pic:spPr>
                </pic:pic>
              </a:graphicData>
            </a:graphic>
          </wp:anchor>
        </w:drawing>
      </w:r>
    </w:p>
    <w:p>
      <w:pPr>
        <w:pStyle w:val="BodyText"/>
        <w:spacing w:after="0"/>
        <w:rPr>
          <w:rFonts w:ascii="Arial"/>
          <w:b/>
          <w:sz w:val="20"/>
        </w:rPr>
        <w:sectPr>
          <w:pgSz w:w="11900" w:h="16840"/>
          <w:pgMar w:top="1340" w:bottom="280" w:left="1275" w:right="1275"/>
        </w:sectPr>
      </w:pPr>
    </w:p>
    <w:p>
      <w:pPr>
        <w:pStyle w:val="BodyText"/>
        <w:rPr>
          <w:rFonts w:ascii="Arial"/>
          <w:b/>
        </w:rPr>
      </w:pPr>
    </w:p>
    <w:p>
      <w:pPr>
        <w:pStyle w:val="BodyText"/>
        <w:rPr>
          <w:rFonts w:ascii="Arial"/>
          <w:b/>
        </w:rPr>
      </w:pPr>
    </w:p>
    <w:p>
      <w:pPr>
        <w:pStyle w:val="BodyText"/>
        <w:rPr>
          <w:rFonts w:ascii="Arial"/>
          <w:b/>
        </w:rPr>
      </w:pPr>
    </w:p>
    <w:p>
      <w:pPr>
        <w:pStyle w:val="BodyText"/>
        <w:spacing w:before="28"/>
        <w:rPr>
          <w:rFonts w:ascii="Arial"/>
          <w:b/>
        </w:rPr>
      </w:pPr>
    </w:p>
    <w:p>
      <w:pPr>
        <w:spacing w:before="1"/>
        <w:ind w:left="429" w:right="0" w:firstLine="0"/>
        <w:jc w:val="left"/>
        <w:rPr>
          <w:rFonts w:ascii="Arial"/>
          <w:b/>
          <w:sz w:val="24"/>
        </w:rPr>
      </w:pPr>
      <w:r>
        <w:rPr>
          <w:rFonts w:ascii="Arial"/>
          <w:b/>
          <w:sz w:val="24"/>
        </w:rPr>
        <w:t>7.- </w:t>
      </w:r>
      <w:r>
        <w:rPr>
          <w:rFonts w:ascii="Arial"/>
          <w:b/>
          <w:spacing w:val="-2"/>
          <w:sz w:val="24"/>
        </w:rPr>
        <w:t>Otras:</w:t>
      </w:r>
    </w:p>
    <w:p>
      <w:pPr>
        <w:spacing w:before="138"/>
        <w:ind w:left="429" w:right="0" w:firstLine="0"/>
        <w:jc w:val="left"/>
        <w:rPr>
          <w:rFonts w:ascii="Arial"/>
          <w:b/>
          <w:sz w:val="24"/>
        </w:rPr>
      </w:pPr>
      <w:r>
        <w:rPr>
          <w:rFonts w:ascii="Arial"/>
          <w:b/>
          <w:sz w:val="24"/>
        </w:rPr>
        <w:t>Actuaciones</w:t>
      </w:r>
      <w:r>
        <w:rPr>
          <w:rFonts w:ascii="Arial"/>
          <w:b/>
          <w:spacing w:val="-5"/>
          <w:sz w:val="24"/>
        </w:rPr>
        <w:t> </w:t>
      </w:r>
      <w:r>
        <w:rPr>
          <w:rFonts w:ascii="Arial"/>
          <w:b/>
          <w:sz w:val="24"/>
        </w:rPr>
        <w:t>relacionadas</w:t>
      </w:r>
      <w:r>
        <w:rPr>
          <w:rFonts w:ascii="Arial"/>
          <w:b/>
          <w:spacing w:val="-2"/>
          <w:sz w:val="24"/>
        </w:rPr>
        <w:t> </w:t>
      </w:r>
      <w:r>
        <w:rPr>
          <w:rFonts w:ascii="Arial"/>
          <w:b/>
          <w:sz w:val="24"/>
        </w:rPr>
        <w:t>con</w:t>
      </w:r>
      <w:r>
        <w:rPr>
          <w:rFonts w:ascii="Arial"/>
          <w:b/>
          <w:spacing w:val="-5"/>
          <w:sz w:val="24"/>
        </w:rPr>
        <w:t> </w:t>
      </w:r>
      <w:r>
        <w:rPr>
          <w:rFonts w:ascii="Arial"/>
          <w:b/>
          <w:sz w:val="24"/>
        </w:rPr>
        <w:t>el</w:t>
      </w:r>
      <w:r>
        <w:rPr>
          <w:rFonts w:ascii="Arial"/>
          <w:b/>
          <w:spacing w:val="-3"/>
          <w:sz w:val="24"/>
        </w:rPr>
        <w:t> </w:t>
      </w:r>
      <w:r>
        <w:rPr>
          <w:rFonts w:ascii="Arial"/>
          <w:b/>
          <w:sz w:val="24"/>
        </w:rPr>
        <w:t>control</w:t>
      </w:r>
      <w:r>
        <w:rPr>
          <w:rFonts w:ascii="Arial"/>
          <w:b/>
          <w:spacing w:val="-3"/>
          <w:sz w:val="24"/>
        </w:rPr>
        <w:t> </w:t>
      </w:r>
      <w:r>
        <w:rPr>
          <w:rFonts w:ascii="Arial"/>
          <w:b/>
          <w:sz w:val="24"/>
        </w:rPr>
        <w:t>de</w:t>
      </w:r>
      <w:r>
        <w:rPr>
          <w:rFonts w:ascii="Arial"/>
          <w:b/>
          <w:spacing w:val="-3"/>
          <w:sz w:val="24"/>
        </w:rPr>
        <w:t> </w:t>
      </w:r>
      <w:r>
        <w:rPr>
          <w:rFonts w:ascii="Arial"/>
          <w:b/>
          <w:spacing w:val="-2"/>
          <w:sz w:val="24"/>
        </w:rPr>
        <w:t>Plagas</w:t>
      </w:r>
    </w:p>
    <w:p>
      <w:pPr>
        <w:pStyle w:val="BodyText"/>
        <w:rPr>
          <w:rFonts w:ascii="Arial"/>
          <w:b/>
        </w:rPr>
      </w:pPr>
    </w:p>
    <w:p>
      <w:pPr>
        <w:pStyle w:val="BodyText"/>
        <w:rPr>
          <w:rFonts w:ascii="Arial"/>
          <w:b/>
        </w:rPr>
      </w:pPr>
    </w:p>
    <w:p>
      <w:pPr>
        <w:pStyle w:val="BodyText"/>
        <w:spacing w:line="360" w:lineRule="auto"/>
        <w:ind w:left="429" w:right="427" w:firstLine="446"/>
        <w:jc w:val="both"/>
      </w:pPr>
      <w:r>
        <w:rPr/>
        <w:t>Desde marzo de 2014, en relación con el Control de Plagas, se ha implementado</w:t>
      </w:r>
      <w:r>
        <w:rPr>
          <w:spacing w:val="-3"/>
        </w:rPr>
        <w:t> </w:t>
      </w:r>
      <w:r>
        <w:rPr/>
        <w:t>un</w:t>
      </w:r>
      <w:r>
        <w:rPr>
          <w:spacing w:val="-5"/>
        </w:rPr>
        <w:t> </w:t>
      </w:r>
      <w:r>
        <w:rPr/>
        <w:t>aplicación</w:t>
      </w:r>
      <w:r>
        <w:rPr>
          <w:spacing w:val="-3"/>
        </w:rPr>
        <w:t> </w:t>
      </w:r>
      <w:r>
        <w:rPr/>
        <w:t>a</w:t>
      </w:r>
      <w:r>
        <w:rPr>
          <w:spacing w:val="-3"/>
        </w:rPr>
        <w:t> </w:t>
      </w:r>
      <w:r>
        <w:rPr/>
        <w:t>través</w:t>
      </w:r>
      <w:r>
        <w:rPr>
          <w:spacing w:val="-3"/>
        </w:rPr>
        <w:t> </w:t>
      </w:r>
      <w:r>
        <w:rPr/>
        <w:t>de</w:t>
      </w:r>
      <w:r>
        <w:rPr>
          <w:spacing w:val="-3"/>
        </w:rPr>
        <w:t> </w:t>
      </w:r>
      <w:r>
        <w:rPr/>
        <w:t>la</w:t>
      </w:r>
      <w:r>
        <w:rPr>
          <w:spacing w:val="-3"/>
        </w:rPr>
        <w:t> </w:t>
      </w:r>
      <w:r>
        <w:rPr/>
        <w:t>página</w:t>
      </w:r>
      <w:r>
        <w:rPr>
          <w:spacing w:val="-3"/>
        </w:rPr>
        <w:t> </w:t>
      </w:r>
      <w:r>
        <w:rPr/>
        <w:t>web,</w:t>
      </w:r>
      <w:r>
        <w:rPr>
          <w:spacing w:val="-2"/>
        </w:rPr>
        <w:t> </w:t>
      </w:r>
      <w:r>
        <w:rPr/>
        <w:t>con</w:t>
      </w:r>
      <w:r>
        <w:rPr>
          <w:spacing w:val="-3"/>
        </w:rPr>
        <w:t> </w:t>
      </w:r>
      <w:r>
        <w:rPr/>
        <w:t>el</w:t>
      </w:r>
      <w:r>
        <w:rPr>
          <w:spacing w:val="-3"/>
        </w:rPr>
        <w:t> </w:t>
      </w:r>
      <w:r>
        <w:rPr/>
        <w:t>objeto</w:t>
      </w:r>
      <w:r>
        <w:rPr>
          <w:spacing w:val="-3"/>
        </w:rPr>
        <w:t> </w:t>
      </w:r>
      <w:r>
        <w:rPr/>
        <w:t>de</w:t>
      </w:r>
      <w:r>
        <w:rPr>
          <w:spacing w:val="-3"/>
        </w:rPr>
        <w:t> </w:t>
      </w:r>
      <w:r>
        <w:rPr/>
        <w:t>mejorar la atención y el trámite de las quejas y/o incidencias manifestadas por los usuarios relacionadas con este tema en materia de desinsectación, desinfección</w:t>
      </w:r>
      <w:r>
        <w:rPr>
          <w:spacing w:val="40"/>
        </w:rPr>
        <w:t> </w:t>
      </w:r>
      <w:r>
        <w:rPr/>
        <w:t>y desratización, así como</w:t>
      </w:r>
      <w:r>
        <w:rPr>
          <w:spacing w:val="40"/>
        </w:rPr>
        <w:t> </w:t>
      </w:r>
      <w:r>
        <w:rPr/>
        <w:t>el control de palomas y la campaña de </w:t>
      </w:r>
      <w:r>
        <w:rPr>
          <w:spacing w:val="-2"/>
        </w:rPr>
        <w:t>gaviotas.</w:t>
      </w:r>
    </w:p>
    <w:p>
      <w:pPr>
        <w:pStyle w:val="BodyText"/>
        <w:spacing w:line="360" w:lineRule="auto"/>
        <w:ind w:left="429" w:right="428" w:firstLine="264"/>
        <w:jc w:val="both"/>
      </w:pPr>
      <w:r>
        <w:rPr/>
        <w:t>Los avisos de los ciudadanos se recogen por diversas vías: de la pagina web, mediante los diferentes servicios del Ayuntamiento,</w:t>
      </w:r>
      <w:r>
        <w:rPr>
          <w:spacing w:val="40"/>
        </w:rPr>
        <w:t> </w:t>
      </w:r>
      <w:r>
        <w:rPr/>
        <w:t>presenciales, por escrito y</w:t>
      </w:r>
      <w:r>
        <w:rPr>
          <w:spacing w:val="40"/>
        </w:rPr>
        <w:t> </w:t>
      </w:r>
      <w:r>
        <w:rPr/>
        <w:t>telefónicamente. Dichos avisos generan órdenes de trabajo que se dirigen a las diferentes empresas contratadas para tales fines</w:t>
      </w:r>
      <w:r>
        <w:rPr>
          <w:spacing w:val="80"/>
        </w:rPr>
        <w:t> </w:t>
      </w:r>
      <w:r>
        <w:rPr/>
        <w:t>y/o a los servicios de la Administración, si el caso lo requiere .</w:t>
      </w:r>
    </w:p>
    <w:p>
      <w:pPr>
        <w:pStyle w:val="BodyText"/>
      </w:pPr>
    </w:p>
    <w:p>
      <w:pPr>
        <w:pStyle w:val="BodyText"/>
      </w:pPr>
    </w:p>
    <w:p>
      <w:pPr>
        <w:pStyle w:val="BodyText"/>
      </w:pPr>
    </w:p>
    <w:p>
      <w:pPr>
        <w:spacing w:before="0"/>
        <w:ind w:left="429" w:right="0" w:firstLine="0"/>
        <w:jc w:val="left"/>
        <w:rPr>
          <w:sz w:val="24"/>
        </w:rPr>
      </w:pPr>
      <w:r>
        <w:rPr>
          <w:rFonts w:ascii="Arial" w:hAnsi="Arial"/>
          <w:b/>
          <w:sz w:val="24"/>
        </w:rPr>
        <w:t>Tabla</w:t>
      </w:r>
      <w:r>
        <w:rPr>
          <w:rFonts w:ascii="Arial" w:hAnsi="Arial"/>
          <w:b/>
          <w:spacing w:val="-4"/>
          <w:sz w:val="24"/>
        </w:rPr>
        <w:t> </w:t>
      </w:r>
      <w:r>
        <w:rPr>
          <w:rFonts w:ascii="Arial" w:hAnsi="Arial"/>
          <w:b/>
          <w:sz w:val="24"/>
        </w:rPr>
        <w:t>resumen</w:t>
      </w:r>
      <w:r>
        <w:rPr>
          <w:rFonts w:ascii="Arial" w:hAnsi="Arial"/>
          <w:b/>
          <w:spacing w:val="-2"/>
          <w:sz w:val="24"/>
        </w:rPr>
        <w:t> </w:t>
      </w:r>
      <w:r>
        <w:rPr>
          <w:rFonts w:ascii="Arial" w:hAnsi="Arial"/>
          <w:b/>
          <w:sz w:val="24"/>
        </w:rPr>
        <w:t>del</w:t>
      </w:r>
      <w:r>
        <w:rPr>
          <w:rFonts w:ascii="Arial" w:hAnsi="Arial"/>
          <w:b/>
          <w:spacing w:val="-4"/>
          <w:sz w:val="24"/>
        </w:rPr>
        <w:t> </w:t>
      </w:r>
      <w:r>
        <w:rPr>
          <w:rFonts w:ascii="Arial" w:hAnsi="Arial"/>
          <w:b/>
          <w:sz w:val="24"/>
        </w:rPr>
        <w:t>número</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avisos</w:t>
      </w:r>
      <w:r>
        <w:rPr>
          <w:rFonts w:ascii="Arial" w:hAnsi="Arial"/>
          <w:b/>
          <w:spacing w:val="-1"/>
          <w:sz w:val="24"/>
        </w:rPr>
        <w:t> </w:t>
      </w:r>
      <w:r>
        <w:rPr>
          <w:rFonts w:ascii="Arial" w:hAnsi="Arial"/>
          <w:b/>
          <w:spacing w:val="-2"/>
          <w:sz w:val="24"/>
        </w:rPr>
        <w:t>recibidos</w:t>
      </w:r>
      <w:r>
        <w:rPr>
          <w:spacing w:val="-2"/>
          <w:sz w:val="24"/>
        </w:rPr>
        <w:t>:</w:t>
      </w:r>
    </w:p>
    <w:p>
      <w:pPr>
        <w:pStyle w:val="BodyText"/>
        <w:rPr>
          <w:sz w:val="20"/>
        </w:rPr>
      </w:pPr>
    </w:p>
    <w:p>
      <w:pPr>
        <w:pStyle w:val="BodyText"/>
        <w:rPr>
          <w:sz w:val="20"/>
        </w:rPr>
      </w:pPr>
    </w:p>
    <w:p>
      <w:pPr>
        <w:pStyle w:val="BodyText"/>
        <w:rPr>
          <w:sz w:val="20"/>
        </w:rPr>
      </w:pPr>
    </w:p>
    <w:p>
      <w:pPr>
        <w:pStyle w:val="BodyText"/>
        <w:spacing w:before="161"/>
        <w:rPr>
          <w:sz w:val="20"/>
        </w:rPr>
      </w:pPr>
      <w:r>
        <w:rPr>
          <w:sz w:val="20"/>
        </w:rPr>
        <w:drawing>
          <wp:anchor distT="0" distB="0" distL="0" distR="0" allowOverlap="1" layoutInCell="1" locked="0" behindDoc="1" simplePos="0" relativeHeight="487588352">
            <wp:simplePos x="0" y="0"/>
            <wp:positionH relativeFrom="page">
              <wp:posOffset>1748789</wp:posOffset>
            </wp:positionH>
            <wp:positionV relativeFrom="paragraph">
              <wp:posOffset>263986</wp:posOffset>
            </wp:positionV>
            <wp:extent cx="3936986" cy="2388774"/>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3936986" cy="2388774"/>
                    </a:xfrm>
                    <a:prstGeom prst="rect">
                      <a:avLst/>
                    </a:prstGeom>
                  </pic:spPr>
                </pic:pic>
              </a:graphicData>
            </a:graphic>
          </wp:anchor>
        </w:drawing>
      </w:r>
    </w:p>
    <w:p>
      <w:pPr>
        <w:pStyle w:val="BodyText"/>
        <w:spacing w:after="0"/>
        <w:rPr>
          <w:sz w:val="20"/>
        </w:rPr>
        <w:sectPr>
          <w:pgSz w:w="11900" w:h="16840"/>
          <w:pgMar w:top="1940" w:bottom="280" w:left="1275" w:right="1275"/>
        </w:sectPr>
      </w:pPr>
    </w:p>
    <w:p>
      <w:pPr>
        <w:pStyle w:val="BodyText"/>
      </w:pPr>
    </w:p>
    <w:p>
      <w:pPr>
        <w:pStyle w:val="BodyText"/>
      </w:pPr>
    </w:p>
    <w:p>
      <w:pPr>
        <w:pStyle w:val="BodyText"/>
      </w:pPr>
    </w:p>
    <w:p>
      <w:pPr>
        <w:pStyle w:val="BodyText"/>
      </w:pPr>
    </w:p>
    <w:p>
      <w:pPr>
        <w:pStyle w:val="BodyText"/>
        <w:spacing w:before="167"/>
      </w:pPr>
    </w:p>
    <w:p>
      <w:pPr>
        <w:spacing w:line="360" w:lineRule="auto" w:before="0"/>
        <w:ind w:left="429" w:right="0" w:firstLine="0"/>
        <w:jc w:val="left"/>
        <w:rPr>
          <w:rFonts w:ascii="Arial" w:hAnsi="Arial"/>
          <w:b/>
          <w:sz w:val="24"/>
        </w:rPr>
      </w:pPr>
      <w:r>
        <w:rPr>
          <w:rFonts w:ascii="Arial" w:hAnsi="Arial"/>
          <w:b/>
          <w:sz w:val="24"/>
        </w:rPr>
        <w:t>Tabla</w:t>
      </w:r>
      <w:r>
        <w:rPr>
          <w:rFonts w:ascii="Arial" w:hAnsi="Arial"/>
          <w:b/>
          <w:spacing w:val="40"/>
          <w:sz w:val="24"/>
        </w:rPr>
        <w:t> </w:t>
      </w:r>
      <w:r>
        <w:rPr>
          <w:rFonts w:ascii="Arial" w:hAnsi="Arial"/>
          <w:b/>
          <w:sz w:val="24"/>
        </w:rPr>
        <w:t>resumen</w:t>
      </w:r>
      <w:r>
        <w:rPr>
          <w:rFonts w:ascii="Arial" w:hAnsi="Arial"/>
          <w:b/>
          <w:spacing w:val="40"/>
          <w:sz w:val="24"/>
        </w:rPr>
        <w:t> </w:t>
      </w:r>
      <w:r>
        <w:rPr>
          <w:rFonts w:ascii="Arial" w:hAnsi="Arial"/>
          <w:b/>
          <w:sz w:val="24"/>
        </w:rPr>
        <w:t>del</w:t>
      </w:r>
      <w:r>
        <w:rPr>
          <w:rFonts w:ascii="Arial" w:hAnsi="Arial"/>
          <w:b/>
          <w:spacing w:val="40"/>
          <w:sz w:val="24"/>
        </w:rPr>
        <w:t> </w:t>
      </w:r>
      <w:r>
        <w:rPr>
          <w:rFonts w:ascii="Arial" w:hAnsi="Arial"/>
          <w:b/>
          <w:sz w:val="24"/>
        </w:rPr>
        <w:t>número</w:t>
      </w:r>
      <w:r>
        <w:rPr>
          <w:rFonts w:ascii="Arial" w:hAnsi="Arial"/>
          <w:b/>
          <w:spacing w:val="40"/>
          <w:sz w:val="24"/>
        </w:rPr>
        <w:t> </w:t>
      </w:r>
      <w:r>
        <w:rPr>
          <w:rFonts w:ascii="Arial" w:hAnsi="Arial"/>
          <w:b/>
          <w:sz w:val="24"/>
        </w:rPr>
        <w:t>de</w:t>
      </w:r>
      <w:r>
        <w:rPr>
          <w:rFonts w:ascii="Arial" w:hAnsi="Arial"/>
          <w:b/>
          <w:spacing w:val="40"/>
          <w:sz w:val="24"/>
        </w:rPr>
        <w:t> </w:t>
      </w:r>
      <w:r>
        <w:rPr>
          <w:rFonts w:ascii="Arial" w:hAnsi="Arial"/>
          <w:b/>
          <w:sz w:val="24"/>
        </w:rPr>
        <w:t>avisos</w:t>
      </w:r>
      <w:r>
        <w:rPr>
          <w:rFonts w:ascii="Arial" w:hAnsi="Arial"/>
          <w:b/>
          <w:spacing w:val="40"/>
          <w:sz w:val="24"/>
        </w:rPr>
        <w:t> </w:t>
      </w:r>
      <w:r>
        <w:rPr>
          <w:rFonts w:ascii="Arial" w:hAnsi="Arial"/>
          <w:b/>
          <w:sz w:val="24"/>
        </w:rPr>
        <w:t>gestionados</w:t>
      </w:r>
      <w:r>
        <w:rPr>
          <w:rFonts w:ascii="Arial" w:hAnsi="Arial"/>
          <w:b/>
          <w:spacing w:val="40"/>
          <w:sz w:val="24"/>
        </w:rPr>
        <w:t> </w:t>
      </w:r>
      <w:r>
        <w:rPr>
          <w:rFonts w:ascii="Arial" w:hAnsi="Arial"/>
          <w:b/>
          <w:sz w:val="24"/>
        </w:rPr>
        <w:t>por</w:t>
      </w:r>
      <w:r>
        <w:rPr>
          <w:rFonts w:ascii="Arial" w:hAnsi="Arial"/>
          <w:b/>
          <w:spacing w:val="40"/>
          <w:sz w:val="24"/>
        </w:rPr>
        <w:t> </w:t>
      </w:r>
      <w:r>
        <w:rPr>
          <w:rFonts w:ascii="Arial" w:hAnsi="Arial"/>
          <w:b/>
          <w:sz w:val="24"/>
        </w:rPr>
        <w:t>cada</w:t>
      </w:r>
      <w:r>
        <w:rPr>
          <w:rFonts w:ascii="Arial" w:hAnsi="Arial"/>
          <w:b/>
          <w:spacing w:val="40"/>
          <w:sz w:val="24"/>
        </w:rPr>
        <w:t> </w:t>
      </w:r>
      <w:r>
        <w:rPr>
          <w:rFonts w:ascii="Arial" w:hAnsi="Arial"/>
          <w:b/>
          <w:sz w:val="24"/>
        </w:rPr>
        <w:t>servicio</w:t>
      </w:r>
      <w:r>
        <w:rPr>
          <w:rFonts w:ascii="Arial" w:hAnsi="Arial"/>
          <w:b/>
          <w:spacing w:val="40"/>
          <w:sz w:val="24"/>
        </w:rPr>
        <w:t> </w:t>
      </w:r>
      <w:r>
        <w:rPr>
          <w:rFonts w:ascii="Arial" w:hAnsi="Arial"/>
          <w:b/>
          <w:sz w:val="24"/>
        </w:rPr>
        <w:t>o </w:t>
      </w:r>
      <w:r>
        <w:rPr>
          <w:rFonts w:ascii="Arial" w:hAnsi="Arial"/>
          <w:b/>
          <w:spacing w:val="-2"/>
          <w:sz w:val="24"/>
        </w:rPr>
        <w:t>empresa:</w:t>
      </w:r>
    </w:p>
    <w:p>
      <w:pPr>
        <w:pStyle w:val="BodyText"/>
        <w:rPr>
          <w:rFonts w:ascii="Arial"/>
          <w:b/>
          <w:sz w:val="10"/>
        </w:rPr>
      </w:pPr>
      <w:r>
        <w:rPr>
          <w:rFonts w:ascii="Arial"/>
          <w:b/>
          <w:sz w:val="10"/>
        </w:rPr>
        <w:drawing>
          <wp:anchor distT="0" distB="0" distL="0" distR="0" allowOverlap="1" layoutInCell="1" locked="0" behindDoc="1" simplePos="0" relativeHeight="487588864">
            <wp:simplePos x="0" y="0"/>
            <wp:positionH relativeFrom="page">
              <wp:posOffset>822960</wp:posOffset>
            </wp:positionH>
            <wp:positionV relativeFrom="paragraph">
              <wp:posOffset>88384</wp:posOffset>
            </wp:positionV>
            <wp:extent cx="5919927" cy="2420112"/>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5919927" cy="2420112"/>
                    </a:xfrm>
                    <a:prstGeom prst="rect">
                      <a:avLst/>
                    </a:prstGeom>
                  </pic:spPr>
                </pic:pic>
              </a:graphicData>
            </a:graphic>
          </wp:anchor>
        </w:drawing>
      </w:r>
    </w:p>
    <w:p>
      <w:pPr>
        <w:pStyle w:val="BodyText"/>
        <w:rPr>
          <w:rFonts w:ascii="Arial"/>
          <w:b/>
        </w:rPr>
      </w:pPr>
    </w:p>
    <w:p>
      <w:pPr>
        <w:pStyle w:val="BodyText"/>
        <w:rPr>
          <w:rFonts w:ascii="Arial"/>
          <w:b/>
        </w:rPr>
      </w:pPr>
    </w:p>
    <w:p>
      <w:pPr>
        <w:pStyle w:val="BodyText"/>
        <w:spacing w:before="133"/>
        <w:rPr>
          <w:rFonts w:ascii="Arial"/>
          <w:b/>
        </w:rPr>
      </w:pPr>
    </w:p>
    <w:p>
      <w:pPr>
        <w:spacing w:before="0"/>
        <w:ind w:left="429" w:right="0" w:firstLine="0"/>
        <w:jc w:val="left"/>
        <w:rPr>
          <w:rFonts w:ascii="Arial" w:hAnsi="Arial"/>
          <w:b/>
          <w:sz w:val="24"/>
        </w:rPr>
      </w:pPr>
      <w:r>
        <w:rPr>
          <w:rFonts w:ascii="Arial" w:hAnsi="Arial"/>
          <w:b/>
          <w:sz w:val="24"/>
        </w:rPr>
        <w:t>Tabla</w:t>
      </w:r>
      <w:r>
        <w:rPr>
          <w:rFonts w:ascii="Arial" w:hAnsi="Arial"/>
          <w:b/>
          <w:spacing w:val="-4"/>
          <w:sz w:val="24"/>
        </w:rPr>
        <w:t> </w:t>
      </w:r>
      <w:r>
        <w:rPr>
          <w:rFonts w:ascii="Arial" w:hAnsi="Arial"/>
          <w:b/>
          <w:sz w:val="24"/>
        </w:rPr>
        <w:t>resumen</w:t>
      </w:r>
      <w:r>
        <w:rPr>
          <w:rFonts w:ascii="Arial" w:hAnsi="Arial"/>
          <w:b/>
          <w:spacing w:val="-3"/>
          <w:sz w:val="24"/>
        </w:rPr>
        <w:t> </w:t>
      </w:r>
      <w:r>
        <w:rPr>
          <w:rFonts w:ascii="Arial" w:hAnsi="Arial"/>
          <w:b/>
          <w:sz w:val="24"/>
        </w:rPr>
        <w:t>del</w:t>
      </w:r>
      <w:r>
        <w:rPr>
          <w:rFonts w:ascii="Arial" w:hAnsi="Arial"/>
          <w:b/>
          <w:spacing w:val="-4"/>
          <w:sz w:val="24"/>
        </w:rPr>
        <w:t> </w:t>
      </w:r>
      <w:r>
        <w:rPr>
          <w:rFonts w:ascii="Arial" w:hAnsi="Arial"/>
          <w:b/>
          <w:sz w:val="24"/>
        </w:rPr>
        <w:t>número</w:t>
      </w:r>
      <w:r>
        <w:rPr>
          <w:rFonts w:ascii="Arial" w:hAnsi="Arial"/>
          <w:b/>
          <w:spacing w:val="-3"/>
          <w:sz w:val="24"/>
        </w:rPr>
        <w:t> </w:t>
      </w:r>
      <w:r>
        <w:rPr>
          <w:rFonts w:ascii="Arial" w:hAnsi="Arial"/>
          <w:b/>
          <w:sz w:val="24"/>
        </w:rPr>
        <w:t>de</w:t>
      </w:r>
      <w:r>
        <w:rPr>
          <w:rFonts w:ascii="Arial" w:hAnsi="Arial"/>
          <w:b/>
          <w:spacing w:val="-4"/>
          <w:sz w:val="24"/>
        </w:rPr>
        <w:t> </w:t>
      </w:r>
      <w:r>
        <w:rPr>
          <w:rFonts w:ascii="Arial" w:hAnsi="Arial"/>
          <w:b/>
          <w:sz w:val="24"/>
        </w:rPr>
        <w:t>avisos</w:t>
      </w:r>
      <w:r>
        <w:rPr>
          <w:rFonts w:ascii="Arial" w:hAnsi="Arial"/>
          <w:b/>
          <w:spacing w:val="-1"/>
          <w:sz w:val="24"/>
        </w:rPr>
        <w:t> </w:t>
      </w:r>
      <w:r>
        <w:rPr>
          <w:rFonts w:ascii="Arial" w:hAnsi="Arial"/>
          <w:b/>
          <w:sz w:val="24"/>
        </w:rPr>
        <w:t>clasificado</w:t>
      </w:r>
      <w:r>
        <w:rPr>
          <w:rFonts w:ascii="Arial" w:hAnsi="Arial"/>
          <w:b/>
          <w:spacing w:val="-3"/>
          <w:sz w:val="24"/>
        </w:rPr>
        <w:t> </w:t>
      </w:r>
      <w:r>
        <w:rPr>
          <w:rFonts w:ascii="Arial" w:hAnsi="Arial"/>
          <w:b/>
          <w:sz w:val="24"/>
        </w:rPr>
        <w:t>por</w:t>
      </w:r>
      <w:r>
        <w:rPr>
          <w:rFonts w:ascii="Arial" w:hAnsi="Arial"/>
          <w:b/>
          <w:spacing w:val="-1"/>
          <w:sz w:val="24"/>
        </w:rPr>
        <w:t> </w:t>
      </w:r>
      <w:r>
        <w:rPr>
          <w:rFonts w:ascii="Arial" w:hAnsi="Arial"/>
          <w:b/>
          <w:spacing w:val="-2"/>
          <w:sz w:val="24"/>
        </w:rPr>
        <w:t>incidencias:</w:t>
      </w:r>
    </w:p>
    <w:p>
      <w:pPr>
        <w:pStyle w:val="BodyText"/>
        <w:rPr>
          <w:rFonts w:ascii="Arial"/>
          <w:b/>
          <w:sz w:val="20"/>
        </w:rPr>
      </w:pPr>
    </w:p>
    <w:p>
      <w:pPr>
        <w:pStyle w:val="BodyText"/>
        <w:spacing w:before="207"/>
        <w:rPr>
          <w:rFonts w:ascii="Arial"/>
          <w:b/>
          <w:sz w:val="20"/>
        </w:rPr>
      </w:pPr>
      <w:r>
        <w:rPr>
          <w:rFonts w:ascii="Arial"/>
          <w:b/>
          <w:sz w:val="20"/>
        </w:rPr>
        <w:drawing>
          <wp:anchor distT="0" distB="0" distL="0" distR="0" allowOverlap="1" layoutInCell="1" locked="0" behindDoc="1" simplePos="0" relativeHeight="487589376">
            <wp:simplePos x="0" y="0"/>
            <wp:positionH relativeFrom="page">
              <wp:posOffset>1037589</wp:posOffset>
            </wp:positionH>
            <wp:positionV relativeFrom="paragraph">
              <wp:posOffset>292722</wp:posOffset>
            </wp:positionV>
            <wp:extent cx="5477013" cy="2228088"/>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5477013" cy="2228088"/>
                    </a:xfrm>
                    <a:prstGeom prst="rect">
                      <a:avLst/>
                    </a:prstGeom>
                  </pic:spPr>
                </pic:pic>
              </a:graphicData>
            </a:graphic>
          </wp:anchor>
        </w:drawing>
      </w:r>
    </w:p>
    <w:p>
      <w:pPr>
        <w:pStyle w:val="BodyText"/>
        <w:spacing w:after="0"/>
        <w:rPr>
          <w:rFonts w:ascii="Arial"/>
          <w:b/>
          <w:sz w:val="20"/>
        </w:rPr>
        <w:sectPr>
          <w:pgSz w:w="11900" w:h="16840"/>
          <w:pgMar w:top="1940" w:bottom="280" w:left="1275" w:right="1275"/>
        </w:sectPr>
      </w:pPr>
    </w:p>
    <w:p>
      <w:pPr>
        <w:pStyle w:val="BodyText"/>
        <w:spacing w:line="360" w:lineRule="auto" w:before="71"/>
        <w:ind w:left="429" w:right="436"/>
        <w:jc w:val="both"/>
      </w:pPr>
      <w:r>
        <w:rPr/>
        <w:t>Desde el servicio de laboratorio además de lo descrito también se ha llevado a </w:t>
      </w:r>
      <w:r>
        <w:rPr>
          <w:spacing w:val="-2"/>
        </w:rPr>
        <w:t>cabo:</w:t>
      </w:r>
    </w:p>
    <w:p>
      <w:pPr>
        <w:pStyle w:val="ListParagraph"/>
        <w:numPr>
          <w:ilvl w:val="0"/>
          <w:numId w:val="1"/>
        </w:numPr>
        <w:tabs>
          <w:tab w:pos="589" w:val="left" w:leader="none"/>
        </w:tabs>
        <w:spacing w:line="360" w:lineRule="auto" w:before="0" w:after="0"/>
        <w:ind w:left="429" w:right="427" w:firstLine="0"/>
        <w:jc w:val="both"/>
        <w:rPr>
          <w:sz w:val="24"/>
        </w:rPr>
      </w:pPr>
      <w:r>
        <w:rPr>
          <w:sz w:val="24"/>
        </w:rPr>
        <w:t>Estudios sobre el mosquito tigre primero en colaboración con la UMU (desde 2011 hasta 2017) y a partir de abril de 2018 adheridos al Sistema Regional de Vigilancia del Mosquito Tigre.</w:t>
      </w:r>
    </w:p>
    <w:p>
      <w:pPr>
        <w:pStyle w:val="ListParagraph"/>
        <w:numPr>
          <w:ilvl w:val="0"/>
          <w:numId w:val="1"/>
        </w:numPr>
        <w:tabs>
          <w:tab w:pos="616" w:val="left" w:leader="none"/>
        </w:tabs>
        <w:spacing w:line="360" w:lineRule="auto" w:before="0" w:after="0"/>
        <w:ind w:left="429" w:right="433" w:firstLine="0"/>
        <w:jc w:val="both"/>
        <w:rPr>
          <w:sz w:val="24"/>
        </w:rPr>
      </w:pPr>
      <w:r>
        <w:rPr>
          <w:sz w:val="24"/>
        </w:rPr>
        <w:t>Participación activa en las diversas mesas de trabajo que lleva el Área de </w:t>
      </w:r>
      <w:r>
        <w:rPr>
          <w:spacing w:val="-2"/>
          <w:sz w:val="24"/>
        </w:rPr>
        <w:t>Sanidad.</w:t>
      </w:r>
    </w:p>
    <w:sectPr>
      <w:pgSz w:w="11900" w:h="16840"/>
      <w:pgMar w:top="1760" w:bottom="28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29" w:hanging="162"/>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313" w:hanging="162"/>
      </w:pPr>
      <w:rPr>
        <w:rFonts w:hint="default"/>
        <w:lang w:val="es-ES" w:eastAsia="en-US" w:bidi="ar-SA"/>
      </w:rPr>
    </w:lvl>
    <w:lvl w:ilvl="2">
      <w:start w:val="0"/>
      <w:numFmt w:val="bullet"/>
      <w:lvlText w:val="•"/>
      <w:lvlJc w:val="left"/>
      <w:pPr>
        <w:ind w:left="2206" w:hanging="162"/>
      </w:pPr>
      <w:rPr>
        <w:rFonts w:hint="default"/>
        <w:lang w:val="es-ES" w:eastAsia="en-US" w:bidi="ar-SA"/>
      </w:rPr>
    </w:lvl>
    <w:lvl w:ilvl="3">
      <w:start w:val="0"/>
      <w:numFmt w:val="bullet"/>
      <w:lvlText w:val="•"/>
      <w:lvlJc w:val="left"/>
      <w:pPr>
        <w:ind w:left="3099" w:hanging="162"/>
      </w:pPr>
      <w:rPr>
        <w:rFonts w:hint="default"/>
        <w:lang w:val="es-ES" w:eastAsia="en-US" w:bidi="ar-SA"/>
      </w:rPr>
    </w:lvl>
    <w:lvl w:ilvl="4">
      <w:start w:val="0"/>
      <w:numFmt w:val="bullet"/>
      <w:lvlText w:val="•"/>
      <w:lvlJc w:val="left"/>
      <w:pPr>
        <w:ind w:left="3992" w:hanging="162"/>
      </w:pPr>
      <w:rPr>
        <w:rFonts w:hint="default"/>
        <w:lang w:val="es-ES" w:eastAsia="en-US" w:bidi="ar-SA"/>
      </w:rPr>
    </w:lvl>
    <w:lvl w:ilvl="5">
      <w:start w:val="0"/>
      <w:numFmt w:val="bullet"/>
      <w:lvlText w:val="•"/>
      <w:lvlJc w:val="left"/>
      <w:pPr>
        <w:ind w:left="4885" w:hanging="162"/>
      </w:pPr>
      <w:rPr>
        <w:rFonts w:hint="default"/>
        <w:lang w:val="es-ES" w:eastAsia="en-US" w:bidi="ar-SA"/>
      </w:rPr>
    </w:lvl>
    <w:lvl w:ilvl="6">
      <w:start w:val="0"/>
      <w:numFmt w:val="bullet"/>
      <w:lvlText w:val="•"/>
      <w:lvlJc w:val="left"/>
      <w:pPr>
        <w:ind w:left="5778" w:hanging="162"/>
      </w:pPr>
      <w:rPr>
        <w:rFonts w:hint="default"/>
        <w:lang w:val="es-ES" w:eastAsia="en-US" w:bidi="ar-SA"/>
      </w:rPr>
    </w:lvl>
    <w:lvl w:ilvl="7">
      <w:start w:val="0"/>
      <w:numFmt w:val="bullet"/>
      <w:lvlText w:val="•"/>
      <w:lvlJc w:val="left"/>
      <w:pPr>
        <w:ind w:left="6671" w:hanging="162"/>
      </w:pPr>
      <w:rPr>
        <w:rFonts w:hint="default"/>
        <w:lang w:val="es-ES" w:eastAsia="en-US" w:bidi="ar-SA"/>
      </w:rPr>
    </w:lvl>
    <w:lvl w:ilvl="8">
      <w:start w:val="0"/>
      <w:numFmt w:val="bullet"/>
      <w:lvlText w:val="•"/>
      <w:lvlJc w:val="left"/>
      <w:pPr>
        <w:ind w:left="7564" w:hanging="162"/>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ind w:left="429"/>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429" w:right="427"/>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numbering" Target="numbering.xml"/><Relationship Id="rId4" Type="http://schemas.openxmlformats.org/officeDocument/2006/relationships/settings" Target="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E70680818E8245983932722880C086" ma:contentTypeVersion="11" ma:contentTypeDescription="Crear nuevo documento." ma:contentTypeScope="" ma:versionID="566a7ab86d2bde36eb46b5f1673efbe7">
  <xsd:schema xmlns:xsd="http://www.w3.org/2001/XMLSchema" xmlns:xs="http://www.w3.org/2001/XMLSchema" xmlns:p="http://schemas.microsoft.com/office/2006/metadata/properties" xmlns:ns2="a6f330a2-6950-478f-8181-fcf87e6255ef" xmlns:ns3="e133b2d5-eaa1-4305-840c-21012d113058" targetNamespace="http://schemas.microsoft.com/office/2006/metadata/properties" ma:root="true" ma:fieldsID="1f5164db5ac6ac3166edfc3191ede35c" ns2:_="" ns3:_="">
    <xsd:import namespace="a6f330a2-6950-478f-8181-fcf87e6255ef"/>
    <xsd:import namespace="e133b2d5-eaa1-4305-840c-21012d1130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330a2-6950-478f-8181-fcf87e625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a82c509-9cc3-4f49-b896-b3ace273a6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33b2d5-eaa1-4305-840c-21012d11305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f7368c-1050-4bb3-a726-b7bad009ccaa}" ma:internalName="TaxCatchAll" ma:showField="CatchAllData" ma:web="e133b2d5-eaa1-4305-840c-21012d113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33b2d5-eaa1-4305-840c-21012d113058" xsi:nil="true"/>
    <lcf76f155ced4ddcb4097134ff3c332f xmlns="a6f330a2-6950-478f-8181-fcf87e6255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DA9A54-7BC6-4D09-9CC6-D59AB249076E}"/>
</file>

<file path=customXml/itemProps2.xml><?xml version="1.0" encoding="utf-8"?>
<ds:datastoreItem xmlns:ds="http://schemas.openxmlformats.org/officeDocument/2006/customXml" ds:itemID="{76D383FA-AB32-4769-8DE0-06A466D26591}"/>
</file>

<file path=customXml/itemProps3.xml><?xml version="1.0" encoding="utf-8"?>
<ds:datastoreItem xmlns:ds="http://schemas.openxmlformats.org/officeDocument/2006/customXml" ds:itemID="{BBE2A812-BEA6-4D0C-99DE-84A3A0A00C86}"/>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LABORATORIO MUNICIPAL</dc:title>
  <dc:creator>uno</dc:creator>
  <dcterms:created xsi:type="dcterms:W3CDTF">2025-02-19T12:19:25Z</dcterms:created>
  <dcterms:modified xsi:type="dcterms:W3CDTF">2025-02-19T12:19:25Z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Writer</vt:lpwstr>
  </property>
  <property fmtid="{D5CDD505-2E9C-101B-9397-08002B2CF9AE}" pid="4" name="Producer">
    <vt:lpwstr>LibreOffice 4.4</vt:lpwstr>
  </property>
  <property fmtid="{D5CDD505-2E9C-101B-9397-08002B2CF9AE}" pid="5" name="LastSaved">
    <vt:filetime>2025-02-18T00:00:00Z</vt:filetime>
  </property>
  <property fmtid="{D5CDD505-2E9C-101B-9397-08002B2CF9AE}" pid="6" name="ContentTypeId">
    <vt:lpwstr>0x0101007DE70680818E8245983932722880C086</vt:lpwstr>
  </property>
</Properties>
</file>